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997" w:rsidRDefault="00FA2997" w:rsidP="00FA2997">
      <w:pPr>
        <w:pStyle w:val="a5"/>
        <w:jc w:val="center"/>
        <w:rPr>
          <w:rFonts w:cs="FrankRuehl"/>
          <w:noProof w:val="0"/>
          <w:sz w:val="28"/>
          <w:szCs w:val="28"/>
          <w:rtl/>
        </w:rPr>
      </w:pPr>
      <w:r>
        <w:rPr>
          <w:rFonts w:cs="FrankRuehl"/>
          <w:sz w:val="28"/>
          <w:szCs w:val="28"/>
        </w:rPr>
        <w:drawing>
          <wp:inline distT="0" distB="0" distL="0" distR="0" wp14:anchorId="07BD1A6F" wp14:editId="7CABDB2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01"/>
        <w:gridCol w:w="3639"/>
      </w:tblGrid>
      <w:tr w:rsidR="00FA2997" w:rsidTr="00A87536">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FA2997" w:rsidRPr="00F038D8" w:rsidRDefault="00FA2997" w:rsidP="00A87536">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באילת</w:t>
                </w:r>
              </w:p>
            </w:tc>
          </w:sdtContent>
        </w:sdt>
      </w:tr>
      <w:tr w:rsidR="00FA2997" w:rsidTr="00A87536">
        <w:trPr>
          <w:trHeight w:val="337"/>
          <w:jc w:val="center"/>
        </w:trPr>
        <w:tc>
          <w:tcPr>
            <w:tcW w:w="5047" w:type="dxa"/>
          </w:tcPr>
          <w:p w:rsidR="00FA2997" w:rsidRDefault="00FA2997" w:rsidP="00A87536">
            <w:pPr>
              <w:rPr>
                <w:b/>
                <w:bCs/>
                <w:noProof w:val="0"/>
                <w:sz w:val="26"/>
                <w:szCs w:val="26"/>
                <w:rtl/>
              </w:rPr>
            </w:pPr>
          </w:p>
        </w:tc>
        <w:tc>
          <w:tcPr>
            <w:tcW w:w="3674" w:type="dxa"/>
          </w:tcPr>
          <w:p w:rsidR="00FA2997" w:rsidRDefault="00FA2997" w:rsidP="00A87536">
            <w:pPr>
              <w:pStyle w:val="a5"/>
              <w:jc w:val="right"/>
              <w:rPr>
                <w:b/>
                <w:bCs/>
                <w:noProof w:val="0"/>
                <w:sz w:val="26"/>
                <w:szCs w:val="26"/>
                <w:rtl/>
              </w:rPr>
            </w:pPr>
          </w:p>
        </w:tc>
      </w:tr>
      <w:tr w:rsidR="00FA2997" w:rsidTr="00A87536">
        <w:trPr>
          <w:trHeight w:val="337"/>
          <w:jc w:val="center"/>
        </w:trPr>
        <w:tc>
          <w:tcPr>
            <w:tcW w:w="8721" w:type="dxa"/>
            <w:gridSpan w:val="2"/>
          </w:tcPr>
          <w:p w:rsidR="00FA2997" w:rsidRDefault="00FA2997" w:rsidP="00FA2997">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30958-04-21 </w:t>
            </w:r>
            <w:bookmarkEnd w:id="0"/>
            <w:r>
              <w:rPr>
                <w:b/>
                <w:bCs/>
                <w:noProof w:val="0"/>
                <w:sz w:val="26"/>
                <w:szCs w:val="26"/>
                <w:rtl/>
              </w:rPr>
              <w:t>ק</w:t>
            </w:r>
            <w:r>
              <w:rPr>
                <w:rFonts w:hint="cs"/>
                <w:b/>
                <w:bCs/>
                <w:noProof w:val="0"/>
                <w:sz w:val="26"/>
                <w:szCs w:val="26"/>
                <w:rtl/>
              </w:rPr>
              <w:t>.</w:t>
            </w:r>
            <w:r>
              <w:rPr>
                <w:b/>
                <w:bCs/>
                <w:noProof w:val="0"/>
                <w:sz w:val="26"/>
                <w:szCs w:val="26"/>
                <w:rtl/>
              </w:rPr>
              <w:t xml:space="preserve"> נ' א</w:t>
            </w:r>
            <w:r>
              <w:rPr>
                <w:rFonts w:hint="cs"/>
                <w:b/>
                <w:bCs/>
                <w:noProof w:val="0"/>
                <w:sz w:val="26"/>
                <w:szCs w:val="26"/>
                <w:rtl/>
              </w:rPr>
              <w:t>.</w:t>
            </w:r>
          </w:p>
          <w:p w:rsidR="00FA2997" w:rsidRPr="007B7765" w:rsidRDefault="00FA2997" w:rsidP="00A87536">
            <w:pPr>
              <w:rPr>
                <w:b/>
                <w:bCs/>
                <w:noProof w:val="0"/>
                <w:sz w:val="2"/>
                <w:szCs w:val="2"/>
                <w:rtl/>
              </w:rPr>
            </w:pPr>
          </w:p>
          <w:p w:rsidR="00FA2997" w:rsidRDefault="00FA2997" w:rsidP="00A87536">
            <w:pPr>
              <w:rPr>
                <w:sz w:val="20"/>
                <w:szCs w:val="20"/>
                <w:rtl/>
              </w:rPr>
            </w:pPr>
            <w:r>
              <w:rPr>
                <w:rFonts w:hint="cs"/>
                <w:rtl/>
              </w:rPr>
              <w:t xml:space="preserve">                           </w:t>
            </w:r>
            <w:r>
              <w:rPr>
                <w:rFonts w:hint="cs"/>
                <w:sz w:val="20"/>
                <w:szCs w:val="20"/>
                <w:rtl/>
              </w:rPr>
              <w:t xml:space="preserve">                                       </w:t>
            </w:r>
          </w:p>
          <w:p w:rsidR="00FA2997" w:rsidRPr="00E1068A" w:rsidRDefault="00FA2997" w:rsidP="00A87536">
            <w:pPr>
              <w:rPr>
                <w:sz w:val="20"/>
                <w:szCs w:val="20"/>
                <w:rtl/>
              </w:rPr>
            </w:pPr>
          </w:p>
        </w:tc>
      </w:tr>
    </w:tbl>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FA2997" w:rsidTr="00A87536">
        <w:trPr>
          <w:trHeight w:val="295"/>
          <w:jc w:val="center"/>
        </w:trPr>
        <w:tc>
          <w:tcPr>
            <w:tcW w:w="5049" w:type="dxa"/>
            <w:gridSpan w:val="3"/>
          </w:tcPr>
          <w:p w:rsidR="00FA2997" w:rsidRDefault="00FA2997" w:rsidP="00A87536">
            <w:pPr>
              <w:suppressLineNumbers/>
              <w:rPr>
                <w:rFonts w:ascii="Arial" w:hAnsi="Arial"/>
                <w:b/>
                <w:bCs/>
                <w:noProof w:val="0"/>
                <w:sz w:val="26"/>
                <w:szCs w:val="26"/>
                <w:rtl/>
              </w:rPr>
            </w:pPr>
          </w:p>
        </w:tc>
        <w:tc>
          <w:tcPr>
            <w:tcW w:w="3771" w:type="dxa"/>
          </w:tcPr>
          <w:p w:rsidR="00FA2997" w:rsidRDefault="00FA2997" w:rsidP="00A87536">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33</w:t>
                </w:r>
              </w:sdtContent>
            </w:sdt>
          </w:p>
        </w:tc>
      </w:tr>
      <w:tr w:rsidR="00FA2997" w:rsidTr="00A87536">
        <w:trPr>
          <w:jc w:val="center"/>
        </w:trPr>
        <w:tc>
          <w:tcPr>
            <w:tcW w:w="743" w:type="dxa"/>
          </w:tcPr>
          <w:p w:rsidR="00FA2997" w:rsidRPr="0001039D" w:rsidRDefault="00FA2997" w:rsidP="00A87536">
            <w:pPr>
              <w:suppressLineNumbers/>
              <w:jc w:val="both"/>
              <w:rPr>
                <w:rFonts w:ascii="Arial" w:hAnsi="Arial"/>
                <w:b/>
                <w:bCs/>
                <w:sz w:val="26"/>
                <w:szCs w:val="26"/>
                <w:rtl/>
              </w:rPr>
            </w:pPr>
            <w:r w:rsidRPr="0001039D">
              <w:rPr>
                <w:rFonts w:ascii="Arial" w:hAnsi="Arial" w:hint="cs"/>
                <w:b/>
                <w:bCs/>
                <w:sz w:val="26"/>
                <w:szCs w:val="26"/>
                <w:rtl/>
              </w:rPr>
              <w:t>ב</w:t>
            </w:r>
            <w:r w:rsidRPr="0001039D">
              <w:rPr>
                <w:rFonts w:ascii="Arial" w:hAnsi="Arial"/>
                <w:b/>
                <w:bCs/>
                <w:sz w:val="26"/>
                <w:szCs w:val="26"/>
                <w:rtl/>
              </w:rPr>
              <w:t xml:space="preserve">פני </w:t>
            </w:r>
          </w:p>
        </w:tc>
        <w:tc>
          <w:tcPr>
            <w:tcW w:w="8077" w:type="dxa"/>
            <w:gridSpan w:val="3"/>
          </w:tcPr>
          <w:p w:rsidR="00FA2997" w:rsidRPr="00E92A5A" w:rsidRDefault="00FA2997" w:rsidP="00A87536">
            <w:pPr>
              <w:suppressLineNumbers/>
              <w:rPr>
                <w:rFonts w:ascii="Arial" w:hAnsi="Arial" w:cs="FrankRuehl"/>
                <w:sz w:val="26"/>
                <w:szCs w:val="26"/>
                <w:highlight w:val="yellow"/>
              </w:rPr>
            </w:pPr>
            <w:r w:rsidRPr="00E92A5A">
              <w:rPr>
                <w:rFonts w:ascii="Arial" w:hAnsi="Arial" w:hint="cs"/>
                <w:b/>
                <w:bCs/>
                <w:sz w:val="26"/>
                <w:szCs w:val="26"/>
                <w:rtl/>
              </w:rPr>
              <w:t>כב' השופט הבכיר, מרדכי (מוטי) לוי</w:t>
            </w:r>
          </w:p>
        </w:tc>
      </w:tr>
      <w:tr w:rsidR="00FA2997" w:rsidTr="00A87536">
        <w:trPr>
          <w:jc w:val="center"/>
        </w:trPr>
        <w:tc>
          <w:tcPr>
            <w:tcW w:w="3249" w:type="dxa"/>
            <w:gridSpan w:val="2"/>
          </w:tcPr>
          <w:p w:rsidR="00FA2997" w:rsidRDefault="00FA2997" w:rsidP="00A87536">
            <w:pPr>
              <w:suppressLineNumbers/>
              <w:rPr>
                <w:rFonts w:ascii="Arial" w:hAnsi="Arial"/>
                <w:b/>
                <w:bCs/>
                <w:noProof w:val="0"/>
                <w:sz w:val="26"/>
                <w:szCs w:val="26"/>
              </w:rPr>
            </w:pPr>
          </w:p>
          <w:p w:rsidR="00FA2997" w:rsidRDefault="00FA2997" w:rsidP="00A87536">
            <w:pPr>
              <w:suppressLineNumbers/>
              <w:rPr>
                <w:rFonts w:ascii="Arial" w:hAnsi="Arial"/>
                <w:b/>
                <w:bCs/>
                <w:noProof w:val="0"/>
                <w:sz w:val="26"/>
                <w:szCs w:val="26"/>
                <w:rtl/>
              </w:rPr>
            </w:pPr>
            <w:r>
              <w:rPr>
                <w:rFonts w:ascii="Arial" w:hAnsi="Arial"/>
                <w:b/>
                <w:bCs/>
                <w:noProof w:val="0"/>
                <w:sz w:val="26"/>
                <w:szCs w:val="26"/>
                <w:rtl/>
              </w:rPr>
              <w:t>מבקש</w:t>
            </w:r>
          </w:p>
        </w:tc>
        <w:tc>
          <w:tcPr>
            <w:tcW w:w="5571" w:type="dxa"/>
            <w:gridSpan w:val="2"/>
          </w:tcPr>
          <w:p w:rsidR="00FA2997" w:rsidRDefault="00FA2997" w:rsidP="00A87536">
            <w:pPr>
              <w:suppressLineNumbers/>
              <w:rPr>
                <w:rFonts w:ascii="Arial" w:hAnsi="Arial"/>
                <w:b/>
                <w:bCs/>
                <w:noProof w:val="0"/>
                <w:sz w:val="26"/>
                <w:szCs w:val="26"/>
                <w:rtl/>
              </w:rPr>
            </w:pPr>
          </w:p>
          <w:p w:rsidR="00FA2997" w:rsidRDefault="00FA2997" w:rsidP="00FA2997">
            <w:pPr>
              <w:suppressLineNumbers/>
              <w:rPr>
                <w:b/>
                <w:bCs/>
                <w:noProof w:val="0"/>
                <w:sz w:val="26"/>
                <w:szCs w:val="26"/>
                <w:rtl/>
              </w:rPr>
            </w:pPr>
            <w:r>
              <w:rPr>
                <w:rFonts w:ascii="Arial" w:hAnsi="Arial" w:hint="cs"/>
                <w:b/>
                <w:bCs/>
                <w:noProof w:val="0"/>
                <w:sz w:val="26"/>
                <w:szCs w:val="26"/>
                <w:rtl/>
              </w:rPr>
              <w:t>---</w:t>
            </w: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 xml:space="preserve"> ק</w:t>
            </w:r>
            <w:r>
              <w:rPr>
                <w:rFonts w:ascii="Arial" w:hAnsi="Arial" w:hint="cs"/>
                <w:b/>
                <w:bCs/>
                <w:noProof w:val="0"/>
                <w:sz w:val="26"/>
                <w:szCs w:val="26"/>
                <w:rtl/>
              </w:rPr>
              <w:t>.</w:t>
            </w:r>
          </w:p>
          <w:p w:rsidR="00FA2997" w:rsidRPr="00E02BF4" w:rsidRDefault="00FA2997" w:rsidP="00A87536">
            <w:pPr>
              <w:suppressLineNumbers/>
              <w:rPr>
                <w:noProof w:val="0"/>
              </w:rPr>
            </w:pPr>
            <w:r>
              <w:rPr>
                <w:rFonts w:hint="cs"/>
                <w:noProof w:val="0"/>
                <w:rtl/>
              </w:rPr>
              <w:t xml:space="preserve">מיוצג ע"י עוה"ד </w:t>
            </w:r>
            <w:proofErr w:type="spellStart"/>
            <w:r>
              <w:rPr>
                <w:rFonts w:hint="cs"/>
                <w:noProof w:val="0"/>
                <w:rtl/>
              </w:rPr>
              <w:t>אשריאל</w:t>
            </w:r>
            <w:proofErr w:type="spellEnd"/>
            <w:r>
              <w:rPr>
                <w:rFonts w:hint="cs"/>
                <w:noProof w:val="0"/>
                <w:rtl/>
              </w:rPr>
              <w:t xml:space="preserve"> עטיה ואח'</w:t>
            </w:r>
          </w:p>
        </w:tc>
      </w:tr>
      <w:tr w:rsidR="00FA2997" w:rsidTr="00A87536">
        <w:trPr>
          <w:jc w:val="center"/>
        </w:trPr>
        <w:tc>
          <w:tcPr>
            <w:tcW w:w="8820" w:type="dxa"/>
            <w:gridSpan w:val="4"/>
          </w:tcPr>
          <w:p w:rsidR="00FA2997" w:rsidRDefault="00FA2997" w:rsidP="00A87536">
            <w:pPr>
              <w:suppressLineNumbers/>
              <w:rPr>
                <w:rFonts w:ascii="Arial" w:hAnsi="Arial"/>
                <w:b/>
                <w:bCs/>
                <w:noProof w:val="0"/>
                <w:sz w:val="26"/>
                <w:szCs w:val="26"/>
                <w:rtl/>
              </w:rPr>
            </w:pPr>
          </w:p>
          <w:p w:rsidR="00FA2997" w:rsidRDefault="00FA2997" w:rsidP="00A87536">
            <w:pPr>
              <w:suppressLineNumbers/>
              <w:jc w:val="center"/>
              <w:rPr>
                <w:rFonts w:ascii="Arial" w:hAnsi="Arial"/>
                <w:b/>
                <w:bCs/>
                <w:noProof w:val="0"/>
                <w:sz w:val="26"/>
                <w:szCs w:val="26"/>
              </w:rPr>
            </w:pPr>
            <w:r>
              <w:rPr>
                <w:rFonts w:ascii="Arial" w:hAnsi="Arial"/>
                <w:b/>
                <w:bCs/>
                <w:noProof w:val="0"/>
                <w:sz w:val="26"/>
                <w:szCs w:val="26"/>
                <w:rtl/>
              </w:rPr>
              <w:t>נגד</w:t>
            </w:r>
          </w:p>
        </w:tc>
      </w:tr>
      <w:tr w:rsidR="00FA2997" w:rsidTr="00A87536">
        <w:trPr>
          <w:jc w:val="center"/>
        </w:trPr>
        <w:tc>
          <w:tcPr>
            <w:tcW w:w="3249" w:type="dxa"/>
            <w:gridSpan w:val="2"/>
          </w:tcPr>
          <w:p w:rsidR="00FA2997" w:rsidRDefault="00FA2997" w:rsidP="00A87536">
            <w:pPr>
              <w:suppressLineNumbers/>
              <w:rPr>
                <w:rFonts w:ascii="Arial" w:hAnsi="Arial"/>
                <w:b/>
                <w:bCs/>
                <w:noProof w:val="0"/>
                <w:sz w:val="26"/>
                <w:szCs w:val="26"/>
                <w:rtl/>
              </w:rPr>
            </w:pPr>
          </w:p>
          <w:p w:rsidR="00FA2997" w:rsidRDefault="00FA2997" w:rsidP="00A87536">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ה</w:t>
            </w:r>
          </w:p>
        </w:tc>
        <w:tc>
          <w:tcPr>
            <w:tcW w:w="5571" w:type="dxa"/>
            <w:gridSpan w:val="2"/>
          </w:tcPr>
          <w:p w:rsidR="00FA2997" w:rsidRDefault="00FA2997" w:rsidP="00A87536">
            <w:pPr>
              <w:suppressLineNumbers/>
              <w:rPr>
                <w:rFonts w:ascii="Arial" w:hAnsi="Arial"/>
                <w:b/>
                <w:bCs/>
                <w:noProof w:val="0"/>
                <w:sz w:val="26"/>
                <w:szCs w:val="26"/>
                <w:rtl/>
              </w:rPr>
            </w:pPr>
          </w:p>
          <w:p w:rsidR="00FA2997" w:rsidRDefault="00FA2997" w:rsidP="00FA2997">
            <w:pPr>
              <w:suppressLineNumbers/>
              <w:rPr>
                <w:b/>
                <w:bCs/>
                <w:noProof w:val="0"/>
                <w:sz w:val="26"/>
                <w:szCs w:val="26"/>
                <w:rtl/>
              </w:rPr>
            </w:pPr>
            <w:r>
              <w:rPr>
                <w:rFonts w:ascii="Arial" w:hAnsi="Arial"/>
                <w:b/>
                <w:bCs/>
                <w:noProof w:val="0"/>
                <w:sz w:val="26"/>
                <w:szCs w:val="26"/>
                <w:rtl/>
              </w:rPr>
              <w:t>ק</w:t>
            </w:r>
            <w:r>
              <w:rPr>
                <w:rFonts w:ascii="Arial" w:hAnsi="Arial" w:hint="cs"/>
                <w:b/>
                <w:bCs/>
                <w:noProof w:val="0"/>
                <w:sz w:val="26"/>
                <w:szCs w:val="26"/>
                <w:rtl/>
              </w:rPr>
              <w:t>.</w:t>
            </w:r>
            <w:r>
              <w:rPr>
                <w:rFonts w:ascii="Arial" w:hAnsi="Arial"/>
                <w:b/>
                <w:bCs/>
                <w:noProof w:val="0"/>
                <w:sz w:val="26"/>
                <w:szCs w:val="26"/>
                <w:rtl/>
              </w:rPr>
              <w:t>ק</w:t>
            </w:r>
            <w:r>
              <w:rPr>
                <w:rFonts w:ascii="Arial" w:hAnsi="Arial" w:hint="cs"/>
                <w:b/>
                <w:bCs/>
                <w:noProof w:val="0"/>
                <w:sz w:val="26"/>
                <w:szCs w:val="26"/>
                <w:rtl/>
              </w:rPr>
              <w:t>.</w:t>
            </w:r>
            <w:r>
              <w:rPr>
                <w:rFonts w:ascii="Arial" w:hAnsi="Arial"/>
                <w:b/>
                <w:bCs/>
                <w:noProof w:val="0"/>
                <w:sz w:val="26"/>
                <w:szCs w:val="26"/>
                <w:rtl/>
              </w:rPr>
              <w:t xml:space="preserve"> א</w:t>
            </w:r>
            <w:r>
              <w:rPr>
                <w:rFonts w:ascii="Arial" w:hAnsi="Arial" w:hint="cs"/>
                <w:b/>
                <w:bCs/>
                <w:noProof w:val="0"/>
                <w:sz w:val="26"/>
                <w:szCs w:val="26"/>
                <w:rtl/>
              </w:rPr>
              <w:t>.</w:t>
            </w:r>
          </w:p>
          <w:p w:rsidR="00FA2997" w:rsidRPr="00E02BF4" w:rsidRDefault="00FA2997" w:rsidP="00A87536">
            <w:pPr>
              <w:suppressLineNumbers/>
              <w:rPr>
                <w:noProof w:val="0"/>
                <w:rtl/>
              </w:rPr>
            </w:pPr>
            <w:r>
              <w:rPr>
                <w:rFonts w:hint="cs"/>
                <w:noProof w:val="0"/>
                <w:rtl/>
              </w:rPr>
              <w:t xml:space="preserve">מיוצגת ע"י עוה"ד לורי </w:t>
            </w:r>
            <w:proofErr w:type="spellStart"/>
            <w:r>
              <w:rPr>
                <w:rFonts w:hint="cs"/>
                <w:noProof w:val="0"/>
                <w:rtl/>
              </w:rPr>
              <w:t>גייזלר</w:t>
            </w:r>
            <w:proofErr w:type="spellEnd"/>
            <w:r>
              <w:rPr>
                <w:rFonts w:hint="cs"/>
                <w:noProof w:val="0"/>
                <w:rtl/>
              </w:rPr>
              <w:t xml:space="preserve"> ואח'</w:t>
            </w:r>
          </w:p>
        </w:tc>
      </w:tr>
      <w:tr w:rsidR="00FA2997" w:rsidTr="00A87536">
        <w:trPr>
          <w:jc w:val="center"/>
        </w:trPr>
        <w:tc>
          <w:tcPr>
            <w:tcW w:w="8820" w:type="dxa"/>
            <w:gridSpan w:val="4"/>
          </w:tcPr>
          <w:p w:rsidR="00FA2997" w:rsidRDefault="00FA2997" w:rsidP="00A87536">
            <w:pPr>
              <w:suppressLineNumbers/>
              <w:rPr>
                <w:rFonts w:ascii="Arial" w:hAnsi="Arial"/>
                <w:b/>
                <w:bCs/>
                <w:noProof w:val="0"/>
                <w:sz w:val="26"/>
                <w:szCs w:val="26"/>
                <w:rtl/>
              </w:rPr>
            </w:pPr>
          </w:p>
        </w:tc>
      </w:tr>
    </w:tbl>
    <w:p w:rsidR="00FA2997" w:rsidRDefault="00FA2997" w:rsidP="00FA2997">
      <w:pPr>
        <w:suppressLineNumbers/>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A2997" w:rsidRPr="00DE1E7D" w:rsidTr="00A87536">
        <w:trPr>
          <w:jc w:val="center"/>
        </w:trPr>
        <w:tc>
          <w:tcPr>
            <w:tcW w:w="8820" w:type="dxa"/>
          </w:tcPr>
          <w:p w:rsidR="00FA2997" w:rsidRDefault="00FA2997" w:rsidP="00A87536">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FA2997" w:rsidRPr="00D44968" w:rsidRDefault="00FA2997" w:rsidP="00A87536">
            <w:pPr>
              <w:bidi w:val="0"/>
              <w:jc w:val="center"/>
              <w:rPr>
                <w:rFonts w:ascii="Arial" w:hAnsi="Arial"/>
                <w:b/>
                <w:bCs/>
                <w:noProof w:val="0"/>
                <w:sz w:val="28"/>
                <w:szCs w:val="28"/>
                <w:u w:val="single"/>
              </w:rPr>
            </w:pPr>
          </w:p>
        </w:tc>
      </w:tr>
    </w:tbl>
    <w:p w:rsidR="00FA2997" w:rsidRPr="00E02BF4" w:rsidRDefault="00FA2997" w:rsidP="00FA2997">
      <w:pPr>
        <w:spacing w:line="360" w:lineRule="auto"/>
        <w:ind w:left="720" w:hanging="720"/>
        <w:jc w:val="both"/>
        <w:rPr>
          <w:rFonts w:ascii="David" w:hAnsi="David"/>
          <w:noProof w:val="0"/>
          <w:rtl/>
        </w:rPr>
      </w:pPr>
      <w:bookmarkStart w:id="1" w:name="NGCSBookmark"/>
      <w:bookmarkEnd w:id="1"/>
      <w:r w:rsidRPr="00E02BF4">
        <w:rPr>
          <w:rFonts w:ascii="David" w:hAnsi="David"/>
          <w:rtl/>
        </w:rPr>
        <w:t>1.</w:t>
      </w:r>
      <w:r>
        <w:rPr>
          <w:rFonts w:ascii="David" w:hAnsi="David"/>
          <w:rtl/>
        </w:rPr>
        <w:tab/>
      </w:r>
      <w:r w:rsidRPr="00E02BF4">
        <w:rPr>
          <w:rFonts w:ascii="David" w:hAnsi="David"/>
          <w:rtl/>
        </w:rPr>
        <w:t>לפני בקשה לצירוף ראיה לאחר תום פרק שמיעת ההוכחות וטרם הגשת סיכומים. הראיה אותה ביקש המבקש לצרף הוא  מסמך של חברת יוסי אברהמי עבודות הנדסה אזרחית בע"מ מיום 18.12.2022 בו נכתב ש"</w:t>
      </w:r>
      <w:r w:rsidRPr="00E02BF4">
        <w:rPr>
          <w:rFonts w:ascii="David" w:hAnsi="David"/>
          <w:b/>
          <w:bCs/>
          <w:rtl/>
        </w:rPr>
        <w:t xml:space="preserve">על פי רישומי הזכויות של פרויקט </w:t>
      </w:r>
      <w:r>
        <w:rPr>
          <w:rFonts w:ascii="David" w:hAnsi="David" w:hint="cs"/>
          <w:b/>
          <w:bCs/>
          <w:rtl/>
        </w:rPr>
        <w:t>----</w:t>
      </w:r>
      <w:r w:rsidRPr="00E02BF4">
        <w:rPr>
          <w:rFonts w:ascii="David" w:hAnsi="David"/>
          <w:b/>
          <w:bCs/>
          <w:rtl/>
        </w:rPr>
        <w:t xml:space="preserve"> המתנהלים במשרדנו  הננו מאשרים כי הזכויות בקשר עם הדירה שבנדון</w:t>
      </w:r>
      <w:r w:rsidRPr="00E02BF4">
        <w:rPr>
          <w:rFonts w:ascii="David" w:hAnsi="David"/>
          <w:rtl/>
        </w:rPr>
        <w:t xml:space="preserve"> (פרטי הדירה המופעים בכותרת הם: </w:t>
      </w:r>
      <w:r w:rsidRPr="00E02BF4">
        <w:rPr>
          <w:rFonts w:ascii="David" w:hAnsi="David"/>
          <w:u w:val="single"/>
          <w:rtl/>
        </w:rPr>
        <w:t xml:space="preserve">דירה ברח' </w:t>
      </w:r>
      <w:r>
        <w:rPr>
          <w:rFonts w:ascii="David" w:hAnsi="David" w:hint="cs"/>
          <w:u w:val="single"/>
          <w:rtl/>
        </w:rPr>
        <w:t>-----</w:t>
      </w:r>
      <w:r w:rsidRPr="00E02BF4">
        <w:rPr>
          <w:rFonts w:ascii="David" w:hAnsi="David"/>
          <w:u w:val="single"/>
          <w:rtl/>
        </w:rPr>
        <w:t xml:space="preserve">באילת, גוש </w:t>
      </w:r>
      <w:r>
        <w:rPr>
          <w:rFonts w:ascii="David" w:hAnsi="David" w:hint="cs"/>
          <w:u w:val="single"/>
          <w:rtl/>
        </w:rPr>
        <w:t>---</w:t>
      </w:r>
      <w:r w:rsidRPr="00E02BF4">
        <w:rPr>
          <w:rFonts w:ascii="David" w:hAnsi="David"/>
          <w:u w:val="single"/>
          <w:rtl/>
        </w:rPr>
        <w:t xml:space="preserve"> חלקה </w:t>
      </w:r>
      <w:r>
        <w:rPr>
          <w:rFonts w:ascii="David" w:hAnsi="David" w:hint="cs"/>
          <w:u w:val="single"/>
          <w:rtl/>
        </w:rPr>
        <w:t>---</w:t>
      </w:r>
      <w:r w:rsidRPr="00E02BF4">
        <w:rPr>
          <w:rFonts w:ascii="David" w:hAnsi="David"/>
          <w:u w:val="single"/>
          <w:rtl/>
        </w:rPr>
        <w:t xml:space="preserve"> דירה מס' </w:t>
      </w:r>
      <w:r>
        <w:rPr>
          <w:rFonts w:ascii="David" w:hAnsi="David" w:hint="cs"/>
          <w:u w:val="single"/>
          <w:rtl/>
        </w:rPr>
        <w:t>--</w:t>
      </w:r>
      <w:r w:rsidRPr="00E02BF4">
        <w:rPr>
          <w:rFonts w:ascii="David" w:hAnsi="David"/>
          <w:u w:val="single"/>
          <w:rtl/>
        </w:rPr>
        <w:t xml:space="preserve">מגרש </w:t>
      </w:r>
      <w:r>
        <w:rPr>
          <w:rFonts w:ascii="David" w:hAnsi="David" w:hint="cs"/>
          <w:u w:val="single"/>
          <w:rtl/>
        </w:rPr>
        <w:t>--</w:t>
      </w:r>
      <w:r w:rsidRPr="00E02BF4">
        <w:rPr>
          <w:rFonts w:ascii="David" w:hAnsi="David"/>
          <w:u w:val="single"/>
          <w:rtl/>
        </w:rPr>
        <w:t xml:space="preserve"> פרויקט פארק </w:t>
      </w:r>
      <w:r>
        <w:rPr>
          <w:rFonts w:ascii="David" w:hAnsi="David" w:hint="cs"/>
          <w:u w:val="single"/>
          <w:rtl/>
        </w:rPr>
        <w:t>---</w:t>
      </w:r>
      <w:r w:rsidRPr="00E02BF4">
        <w:rPr>
          <w:rFonts w:ascii="David" w:hAnsi="David"/>
          <w:rtl/>
        </w:rPr>
        <w:t xml:space="preserve"> – מ.ל) (להלן- </w:t>
      </w:r>
      <w:r w:rsidRPr="00E02BF4">
        <w:rPr>
          <w:rFonts w:ascii="Miriam" w:hAnsi="Miriam" w:cs="Miriam"/>
          <w:b/>
          <w:bCs/>
          <w:rtl/>
        </w:rPr>
        <w:t>הדירה</w:t>
      </w:r>
      <w:r w:rsidRPr="00E02BF4">
        <w:rPr>
          <w:rFonts w:ascii="David" w:hAnsi="David"/>
          <w:rtl/>
        </w:rPr>
        <w:t xml:space="preserve">) </w:t>
      </w:r>
      <w:r w:rsidRPr="00E02BF4">
        <w:rPr>
          <w:rFonts w:ascii="David" w:hAnsi="David"/>
          <w:b/>
          <w:bCs/>
          <w:rtl/>
        </w:rPr>
        <w:t>רשומות ע"ש ק</w:t>
      </w:r>
      <w:r>
        <w:rPr>
          <w:rFonts w:ascii="David" w:hAnsi="David" w:hint="cs"/>
          <w:b/>
          <w:bCs/>
          <w:rtl/>
        </w:rPr>
        <w:t>.</w:t>
      </w:r>
      <w:r w:rsidRPr="00E02BF4">
        <w:rPr>
          <w:rFonts w:ascii="David" w:hAnsi="David"/>
          <w:b/>
          <w:bCs/>
          <w:rtl/>
        </w:rPr>
        <w:t xml:space="preserve"> א</w:t>
      </w:r>
      <w:r>
        <w:rPr>
          <w:rFonts w:ascii="David" w:hAnsi="David" w:hint="cs"/>
          <w:b/>
          <w:bCs/>
          <w:rtl/>
        </w:rPr>
        <w:t>.</w:t>
      </w:r>
      <w:r w:rsidRPr="00E02BF4">
        <w:rPr>
          <w:rFonts w:ascii="David" w:hAnsi="David"/>
          <w:b/>
          <w:bCs/>
          <w:rtl/>
        </w:rPr>
        <w:t xml:space="preserve"> ת.ז. </w:t>
      </w:r>
      <w:r w:rsidRPr="00E02BF4">
        <w:rPr>
          <w:rFonts w:ascii="David" w:hAnsi="David"/>
          <w:rtl/>
        </w:rPr>
        <w:t>...</w:t>
      </w:r>
      <w:r w:rsidRPr="00E02BF4">
        <w:rPr>
          <w:rFonts w:ascii="David" w:hAnsi="David"/>
          <w:b/>
          <w:bCs/>
          <w:rtl/>
        </w:rPr>
        <w:t xml:space="preserve"> ו- ק</w:t>
      </w:r>
      <w:r>
        <w:rPr>
          <w:rFonts w:ascii="David" w:hAnsi="David" w:hint="cs"/>
          <w:b/>
          <w:bCs/>
          <w:rtl/>
        </w:rPr>
        <w:t>.</w:t>
      </w:r>
      <w:r w:rsidRPr="00E02BF4">
        <w:rPr>
          <w:rFonts w:ascii="David" w:hAnsi="David"/>
          <w:b/>
          <w:bCs/>
          <w:rtl/>
        </w:rPr>
        <w:t xml:space="preserve"> א</w:t>
      </w:r>
      <w:r>
        <w:rPr>
          <w:rFonts w:ascii="David" w:hAnsi="David" w:hint="cs"/>
          <w:b/>
          <w:bCs/>
          <w:rtl/>
        </w:rPr>
        <w:t>.</w:t>
      </w:r>
      <w:r w:rsidRPr="00E02BF4">
        <w:rPr>
          <w:rFonts w:ascii="David" w:hAnsi="David"/>
          <w:b/>
          <w:bCs/>
          <w:rtl/>
        </w:rPr>
        <w:t>ק</w:t>
      </w:r>
      <w:r>
        <w:rPr>
          <w:rFonts w:ascii="David" w:hAnsi="David" w:hint="cs"/>
          <w:b/>
          <w:bCs/>
          <w:rtl/>
        </w:rPr>
        <w:t>.</w:t>
      </w:r>
      <w:r w:rsidRPr="00E02BF4">
        <w:rPr>
          <w:rFonts w:ascii="David" w:hAnsi="David"/>
          <w:b/>
          <w:bCs/>
          <w:rtl/>
        </w:rPr>
        <w:t xml:space="preserve"> ת.ז.  </w:t>
      </w:r>
      <w:r w:rsidRPr="00E02BF4">
        <w:rPr>
          <w:rFonts w:ascii="David" w:hAnsi="David"/>
          <w:rtl/>
        </w:rPr>
        <w:t>...". (להלן-</w:t>
      </w:r>
      <w:r w:rsidRPr="00E02BF4">
        <w:rPr>
          <w:rFonts w:ascii="Miriam" w:hAnsi="Miriam" w:cs="Miriam"/>
          <w:b/>
          <w:bCs/>
          <w:rtl/>
        </w:rPr>
        <w:t>המסמך</w:t>
      </w:r>
      <w:r w:rsidRPr="00E02BF4">
        <w:rPr>
          <w:rFonts w:ascii="David" w:hAnsi="David"/>
          <w:rtl/>
        </w:rPr>
        <w:t>).</w:t>
      </w:r>
    </w:p>
    <w:p w:rsidR="00FA2997" w:rsidRPr="00E02BF4" w:rsidRDefault="00FA2997" w:rsidP="00FA2997">
      <w:pPr>
        <w:ind w:left="720" w:hanging="720"/>
        <w:rPr>
          <w:noProof w:val="0"/>
        </w:rPr>
      </w:pPr>
    </w:p>
    <w:p w:rsidR="00FA2997" w:rsidRDefault="00FA2997" w:rsidP="00FA2997">
      <w:pPr>
        <w:ind w:left="720" w:hanging="720"/>
        <w:rPr>
          <w:rFonts w:ascii="David" w:hAnsi="David"/>
          <w:b/>
          <w:bCs/>
          <w:sz w:val="26"/>
          <w:szCs w:val="26"/>
          <w:rtl/>
        </w:rPr>
      </w:pPr>
      <w:r>
        <w:rPr>
          <w:rFonts w:ascii="David" w:hAnsi="David"/>
          <w:b/>
          <w:bCs/>
          <w:sz w:val="26"/>
          <w:szCs w:val="26"/>
          <w:u w:val="single"/>
          <w:rtl/>
        </w:rPr>
        <w:t>טענות הצדדים</w:t>
      </w:r>
      <w:r>
        <w:rPr>
          <w:rFonts w:ascii="David" w:hAnsi="David"/>
          <w:b/>
          <w:bCs/>
          <w:sz w:val="26"/>
          <w:szCs w:val="26"/>
          <w:rtl/>
        </w:rPr>
        <w:t>:</w:t>
      </w:r>
    </w:p>
    <w:p w:rsidR="00FA2997" w:rsidRDefault="00FA2997" w:rsidP="00FA2997">
      <w:pPr>
        <w:ind w:left="720" w:hanging="720"/>
        <w:rPr>
          <w:rFonts w:ascii="David" w:hAnsi="David"/>
          <w:b/>
          <w:bCs/>
          <w:rtl/>
        </w:rPr>
      </w:pPr>
    </w:p>
    <w:p w:rsidR="00FA2997" w:rsidRDefault="00FA2997" w:rsidP="00FA2997">
      <w:pPr>
        <w:spacing w:line="360" w:lineRule="auto"/>
        <w:ind w:left="720" w:hanging="720"/>
        <w:jc w:val="both"/>
        <w:rPr>
          <w:rFonts w:ascii="David" w:hAnsi="David"/>
          <w:rtl/>
        </w:rPr>
      </w:pPr>
      <w:r>
        <w:rPr>
          <w:rFonts w:ascii="David" w:hAnsi="David"/>
          <w:rtl/>
        </w:rPr>
        <w:t>2.</w:t>
      </w:r>
      <w:r>
        <w:rPr>
          <w:rFonts w:ascii="David" w:hAnsi="David"/>
          <w:rtl/>
        </w:rPr>
        <w:tab/>
        <w:t>בבקשתו טען המבקש שכבר בכתב התביעה ציין שמסמך זה יוגש בעתיד לתיק שכן קיים קושי להשיגו.</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טען שהמסמך התקבל אצלו ביום 18.12.2022. ברם, בשל פיטורי באת כוחו הקודמת בחודש 12/2022 לא הוגש המסמך לתיק.  כלשונו "</w:t>
      </w:r>
      <w:r>
        <w:rPr>
          <w:rFonts w:ascii="David" w:hAnsi="David"/>
          <w:b/>
          <w:bCs/>
          <w:rtl/>
        </w:rPr>
        <w:t>מה שגרם בשגגה לחוסר המסמך בתיק</w:t>
      </w:r>
      <w:r>
        <w:rPr>
          <w:rFonts w:ascii="David" w:hAnsi="David"/>
          <w:rtl/>
        </w:rPr>
        <w:t>".</w:t>
      </w:r>
    </w:p>
    <w:p w:rsidR="00FA2997" w:rsidRDefault="00FA2997" w:rsidP="00FA2997">
      <w:pPr>
        <w:spacing w:line="360" w:lineRule="auto"/>
        <w:ind w:left="720"/>
        <w:jc w:val="both"/>
        <w:rPr>
          <w:rFonts w:ascii="David" w:hAnsi="David"/>
          <w:rtl/>
        </w:rPr>
      </w:pPr>
    </w:p>
    <w:p w:rsidR="00FA2997" w:rsidRDefault="00FA2997" w:rsidP="00FA2997">
      <w:pPr>
        <w:spacing w:line="360" w:lineRule="auto"/>
        <w:ind w:left="720" w:firstLine="60"/>
        <w:jc w:val="both"/>
        <w:rPr>
          <w:rFonts w:ascii="David" w:hAnsi="David"/>
          <w:rtl/>
        </w:rPr>
      </w:pPr>
      <w:r>
        <w:rPr>
          <w:rFonts w:ascii="David" w:hAnsi="David"/>
          <w:rtl/>
        </w:rPr>
        <w:t>"</w:t>
      </w:r>
      <w:r>
        <w:rPr>
          <w:rFonts w:ascii="David" w:hAnsi="David"/>
          <w:b/>
          <w:bCs/>
          <w:rtl/>
        </w:rPr>
        <w:t>רק במסגרת דיון ההוכחות נוכח המבקש לדעת  כי המסמך לא צורף לתיק</w:t>
      </w:r>
      <w:r>
        <w:rPr>
          <w:rFonts w:ascii="David" w:hAnsi="David"/>
          <w:rtl/>
        </w:rPr>
        <w:t>". המסמך הוצג בדיון לשמיעת הוכחות וניתנה למשיבה "...</w:t>
      </w:r>
      <w:r>
        <w:rPr>
          <w:rFonts w:ascii="David" w:hAnsi="David"/>
          <w:b/>
          <w:bCs/>
          <w:rtl/>
        </w:rPr>
        <w:t>הזכות להגיב למסמך</w:t>
      </w:r>
      <w:r>
        <w:rPr>
          <w:rFonts w:ascii="David" w:hAnsi="David"/>
          <w:rtl/>
        </w:rPr>
        <w:t xml:space="preserve">". </w:t>
      </w:r>
    </w:p>
    <w:p w:rsidR="00FA2997" w:rsidRDefault="00FA2997" w:rsidP="00FA2997">
      <w:pPr>
        <w:spacing w:line="360" w:lineRule="auto"/>
        <w:ind w:left="720" w:firstLine="60"/>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 xml:space="preserve">המבקש הדגיש את חשיבות המסמך המעיד על נכונות טענתו לכל אורך ההליך שהוא רשום כבעל זכויות בנכס. </w:t>
      </w:r>
    </w:p>
    <w:p w:rsidR="00FA2997" w:rsidRDefault="00FA2997" w:rsidP="00FA2997">
      <w:pPr>
        <w:spacing w:line="360" w:lineRule="auto"/>
        <w:ind w:left="720"/>
        <w:jc w:val="both"/>
        <w:rPr>
          <w:rFonts w:ascii="David" w:hAnsi="David"/>
          <w:rtl/>
        </w:rPr>
      </w:pPr>
    </w:p>
    <w:p w:rsidR="00FA2997" w:rsidRDefault="00FA2997" w:rsidP="00FA2997">
      <w:pPr>
        <w:spacing w:line="360" w:lineRule="auto"/>
        <w:ind w:left="720"/>
        <w:jc w:val="both"/>
        <w:rPr>
          <w:rFonts w:ascii="David" w:hAnsi="David"/>
          <w:rtl/>
        </w:rPr>
      </w:pPr>
    </w:p>
    <w:p w:rsidR="00FA2997" w:rsidRDefault="00FA2997" w:rsidP="00FA2997">
      <w:pPr>
        <w:spacing w:line="360" w:lineRule="auto"/>
        <w:jc w:val="both"/>
        <w:rPr>
          <w:rFonts w:ascii="David" w:hAnsi="David"/>
          <w:rtl/>
        </w:rPr>
      </w:pPr>
      <w:r>
        <w:rPr>
          <w:rFonts w:ascii="David" w:hAnsi="David"/>
          <w:rtl/>
        </w:rPr>
        <w:t>3.</w:t>
      </w:r>
      <w:r>
        <w:rPr>
          <w:rFonts w:ascii="David" w:hAnsi="David"/>
          <w:rtl/>
        </w:rPr>
        <w:tab/>
        <w:t>המשיבה התנגדה לבקשה.</w:t>
      </w:r>
    </w:p>
    <w:p w:rsidR="00FA2997" w:rsidRDefault="00FA2997" w:rsidP="00FA2997">
      <w:pPr>
        <w:spacing w:line="360" w:lineRule="auto"/>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 xml:space="preserve">המשיבה טענה שמועד ההוכחות נקבע לפני זמן רב והיה למבקש זמן רב להגיש את המסמך גם לאחר פיטורי עוה"ד הקודמת. טענה שהמבקש היה ער לקיומו של המסמך עובר להגשת הבקשה ומועד הדיון לשמיעת ההוכחות למשל שעה שהתכונן לדיון ויכול היה להגיש את בקשתו במועד מוקדם יותר. </w:t>
      </w:r>
    </w:p>
    <w:p w:rsidR="00FA2997" w:rsidRDefault="00FA2997" w:rsidP="00FA2997">
      <w:pPr>
        <w:spacing w:line="360" w:lineRule="auto"/>
        <w:ind w:left="720"/>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 xml:space="preserve">רק במקרים נדירים יתיר בית המשפט להגיש ראיה לאחר תום שמיעת הוכחות.  בית משפט ייעתר לכך רק אם אותה ראיה לא הייתה בידי הצד המבקש עובר לכך. אין זה המקרה הנדון.  ראיה זו ניתן היה להגיש לתיק כבר משנת 2022. </w:t>
      </w:r>
    </w:p>
    <w:p w:rsidR="00FA2997" w:rsidRDefault="00FA2997" w:rsidP="00FA2997">
      <w:pPr>
        <w:spacing w:line="360" w:lineRule="auto"/>
        <w:ind w:left="720"/>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 xml:space="preserve">כך, המשיבה הפנתה לכך שהנתבע לא צירף מסמכים לתיק הקשורים גם לדירה אחרת שהזכויות בה שנויות במחלוקת. </w:t>
      </w:r>
    </w:p>
    <w:p w:rsidR="00FA2997" w:rsidRDefault="00FA2997" w:rsidP="00FA2997">
      <w:pPr>
        <w:spacing w:line="360" w:lineRule="auto"/>
        <w:ind w:left="720"/>
        <w:jc w:val="both"/>
        <w:rPr>
          <w:rFonts w:ascii="David" w:hAnsi="David"/>
          <w:rtl/>
        </w:rPr>
      </w:pPr>
    </w:p>
    <w:p w:rsidR="00FA2997" w:rsidRDefault="00FA2997" w:rsidP="00FA2997">
      <w:pPr>
        <w:spacing w:line="360" w:lineRule="auto"/>
        <w:ind w:firstLine="720"/>
        <w:jc w:val="both"/>
        <w:rPr>
          <w:rFonts w:ascii="David" w:hAnsi="David"/>
          <w:rtl/>
        </w:rPr>
      </w:pPr>
      <w:r>
        <w:rPr>
          <w:rFonts w:ascii="David" w:hAnsi="David"/>
          <w:rtl/>
        </w:rPr>
        <w:t xml:space="preserve">מדובר בניסיון למקצה שיפורים ועל כן דין הבקשה להידחות.   </w:t>
      </w:r>
    </w:p>
    <w:p w:rsidR="00FA2997" w:rsidRDefault="00FA2997" w:rsidP="00FA2997">
      <w:pPr>
        <w:spacing w:line="360" w:lineRule="auto"/>
        <w:ind w:firstLine="720"/>
        <w:jc w:val="both"/>
        <w:rPr>
          <w:rFonts w:ascii="David" w:hAnsi="David"/>
          <w:rtl/>
        </w:rPr>
      </w:pPr>
    </w:p>
    <w:p w:rsidR="00FA2997" w:rsidRDefault="00FA2997" w:rsidP="00FA2997">
      <w:pPr>
        <w:spacing w:line="360" w:lineRule="auto"/>
        <w:ind w:hanging="7"/>
        <w:jc w:val="both"/>
        <w:rPr>
          <w:rFonts w:ascii="David" w:hAnsi="David"/>
          <w:b/>
          <w:bCs/>
          <w:sz w:val="26"/>
          <w:szCs w:val="26"/>
          <w:u w:val="single"/>
          <w:rtl/>
        </w:rPr>
      </w:pPr>
      <w:r>
        <w:rPr>
          <w:rFonts w:ascii="David" w:hAnsi="David"/>
          <w:b/>
          <w:bCs/>
          <w:sz w:val="26"/>
          <w:szCs w:val="26"/>
          <w:u w:val="single"/>
          <w:rtl/>
        </w:rPr>
        <w:t>דיון והחלטה</w:t>
      </w:r>
      <w:r>
        <w:rPr>
          <w:rFonts w:ascii="David" w:hAnsi="David"/>
          <w:b/>
          <w:bCs/>
          <w:sz w:val="26"/>
          <w:szCs w:val="26"/>
          <w:rtl/>
        </w:rPr>
        <w:t xml:space="preserve">: </w:t>
      </w:r>
    </w:p>
    <w:p w:rsidR="00FA2997" w:rsidRDefault="00FA2997" w:rsidP="00FA2997">
      <w:pPr>
        <w:spacing w:line="360" w:lineRule="auto"/>
        <w:ind w:hanging="7"/>
        <w:jc w:val="both"/>
        <w:rPr>
          <w:rFonts w:ascii="David" w:hAnsi="David"/>
          <w:b/>
          <w:bCs/>
          <w:sz w:val="26"/>
          <w:szCs w:val="26"/>
          <w:u w:val="single"/>
          <w:rtl/>
        </w:rPr>
      </w:pPr>
    </w:p>
    <w:p w:rsidR="00FA2997" w:rsidRDefault="00FA2997" w:rsidP="00FA2997">
      <w:pPr>
        <w:spacing w:line="360" w:lineRule="auto"/>
        <w:ind w:left="713" w:hanging="720"/>
        <w:jc w:val="both"/>
        <w:rPr>
          <w:rFonts w:ascii="David" w:hAnsi="David"/>
          <w:rtl/>
        </w:rPr>
      </w:pPr>
      <w:r>
        <w:rPr>
          <w:rFonts w:ascii="David" w:hAnsi="David"/>
          <w:rtl/>
        </w:rPr>
        <w:t>4.</w:t>
      </w:r>
      <w:r>
        <w:rPr>
          <w:rFonts w:ascii="David" w:hAnsi="David"/>
          <w:rtl/>
        </w:rPr>
        <w:tab/>
        <w:t>משטען המבקש שכבר בכתב התביעה התריע על הקושי בהשגת המסמך האמור ראוי לבדוק את כתב התביעה. בסעיף 24 לכתב התביעה, תחת ראש פרק "</w:t>
      </w:r>
      <w:r>
        <w:rPr>
          <w:rFonts w:ascii="David" w:hAnsi="David"/>
          <w:b/>
          <w:bCs/>
          <w:u w:val="single"/>
          <w:rtl/>
        </w:rPr>
        <w:t>דירות</w:t>
      </w:r>
      <w:r>
        <w:rPr>
          <w:rFonts w:ascii="David" w:hAnsi="David"/>
          <w:rtl/>
        </w:rPr>
        <w:t>" פרט המבקש את הדירות מושא המחלוקת ודירה נוספת בבעלותו.</w:t>
      </w:r>
    </w:p>
    <w:p w:rsidR="00FA2997" w:rsidRDefault="00FA2997" w:rsidP="00FA2997">
      <w:pPr>
        <w:spacing w:line="360" w:lineRule="auto"/>
        <w:ind w:left="713" w:hanging="720"/>
        <w:jc w:val="both"/>
        <w:rPr>
          <w:rFonts w:ascii="David" w:hAnsi="David"/>
          <w:rtl/>
        </w:rPr>
      </w:pPr>
    </w:p>
    <w:p w:rsidR="00FA2997" w:rsidRDefault="00FA2997" w:rsidP="00FA2997">
      <w:pPr>
        <w:spacing w:line="360" w:lineRule="auto"/>
        <w:ind w:left="713" w:hanging="720"/>
        <w:jc w:val="both"/>
        <w:rPr>
          <w:rFonts w:ascii="David" w:hAnsi="David"/>
          <w:u w:val="single"/>
          <w:rtl/>
        </w:rPr>
      </w:pPr>
      <w:r>
        <w:rPr>
          <w:rFonts w:ascii="David" w:hAnsi="David"/>
          <w:rtl/>
        </w:rPr>
        <w:tab/>
        <w:t>בסעיף 24.1 לכתב התביעה נכתב: "</w:t>
      </w:r>
      <w:r>
        <w:rPr>
          <w:rFonts w:ascii="David" w:hAnsi="David"/>
          <w:b/>
          <w:bCs/>
          <w:rtl/>
        </w:rPr>
        <w:t xml:space="preserve">בית המגורים המשותף,  בית פרטי בן 5 חדרים עם בריכה – </w:t>
      </w:r>
      <w:r>
        <w:rPr>
          <w:rFonts w:ascii="David" w:hAnsi="David"/>
          <w:b/>
          <w:bCs/>
          <w:u w:val="single"/>
          <w:rtl/>
        </w:rPr>
        <w:t xml:space="preserve">ברח' </w:t>
      </w:r>
      <w:r>
        <w:rPr>
          <w:rFonts w:ascii="David" w:hAnsi="David" w:hint="cs"/>
          <w:b/>
          <w:bCs/>
          <w:u w:val="single"/>
          <w:rtl/>
        </w:rPr>
        <w:t>----</w:t>
      </w:r>
      <w:r>
        <w:rPr>
          <w:rFonts w:ascii="David" w:hAnsi="David"/>
          <w:b/>
          <w:bCs/>
          <w:u w:val="single"/>
          <w:rtl/>
        </w:rPr>
        <w:t xml:space="preserve">, אילת, הידוע גם כגוש </w:t>
      </w:r>
      <w:r>
        <w:rPr>
          <w:rFonts w:ascii="David" w:hAnsi="David" w:hint="cs"/>
          <w:b/>
          <w:bCs/>
          <w:u w:val="single"/>
          <w:rtl/>
        </w:rPr>
        <w:t>---</w:t>
      </w:r>
      <w:r>
        <w:rPr>
          <w:rFonts w:ascii="David" w:hAnsi="David"/>
          <w:b/>
          <w:bCs/>
          <w:u w:val="single"/>
          <w:rtl/>
        </w:rPr>
        <w:t xml:space="preserve"> חלקה </w:t>
      </w:r>
      <w:r>
        <w:rPr>
          <w:rFonts w:ascii="David" w:hAnsi="David" w:hint="cs"/>
          <w:b/>
          <w:bCs/>
          <w:u w:val="single"/>
          <w:rtl/>
        </w:rPr>
        <w:t>--</w:t>
      </w:r>
      <w:r>
        <w:rPr>
          <w:rFonts w:ascii="David" w:hAnsi="David"/>
          <w:b/>
          <w:bCs/>
          <w:u w:val="single"/>
          <w:rtl/>
        </w:rPr>
        <w:t xml:space="preserve"> (להלן: "בית המגורים")</w:t>
      </w:r>
    </w:p>
    <w:p w:rsidR="00FA2997" w:rsidRDefault="00FA2997" w:rsidP="00FA2997">
      <w:pPr>
        <w:spacing w:line="360" w:lineRule="auto"/>
        <w:ind w:left="713"/>
        <w:jc w:val="both"/>
        <w:rPr>
          <w:rFonts w:ascii="David" w:hAnsi="David"/>
          <w:rtl/>
        </w:rPr>
      </w:pPr>
      <w:r>
        <w:rPr>
          <w:rFonts w:ascii="David" w:hAnsi="David"/>
          <w:rtl/>
        </w:rPr>
        <w:t>בסעיף 24.2 נכתב: "</w:t>
      </w:r>
      <w:r>
        <w:rPr>
          <w:rFonts w:ascii="David" w:hAnsi="David"/>
          <w:b/>
          <w:bCs/>
          <w:u w:val="single"/>
          <w:rtl/>
        </w:rPr>
        <w:t xml:space="preserve">דירה ברח' </w:t>
      </w:r>
      <w:r>
        <w:rPr>
          <w:rFonts w:ascii="David" w:hAnsi="David" w:hint="cs"/>
          <w:b/>
          <w:bCs/>
          <w:u w:val="single"/>
          <w:rtl/>
        </w:rPr>
        <w:t>---</w:t>
      </w:r>
      <w:r>
        <w:rPr>
          <w:rFonts w:ascii="David" w:hAnsi="David"/>
          <w:b/>
          <w:bCs/>
          <w:u w:val="single"/>
          <w:rtl/>
        </w:rPr>
        <w:t xml:space="preserve"> אילת הידועה גם כגוש </w:t>
      </w:r>
      <w:r>
        <w:rPr>
          <w:rFonts w:ascii="David" w:hAnsi="David" w:hint="cs"/>
          <w:b/>
          <w:bCs/>
          <w:u w:val="single"/>
          <w:rtl/>
        </w:rPr>
        <w:t>--</w:t>
      </w:r>
      <w:r>
        <w:rPr>
          <w:rFonts w:ascii="David" w:hAnsi="David"/>
          <w:b/>
          <w:bCs/>
          <w:u w:val="single"/>
          <w:rtl/>
        </w:rPr>
        <w:t xml:space="preserve">, חלקה </w:t>
      </w:r>
      <w:r>
        <w:rPr>
          <w:rFonts w:ascii="David" w:hAnsi="David" w:hint="cs"/>
          <w:b/>
          <w:bCs/>
          <w:u w:val="single"/>
          <w:rtl/>
        </w:rPr>
        <w:t>---</w:t>
      </w:r>
      <w:r>
        <w:rPr>
          <w:rFonts w:ascii="David" w:hAnsi="David"/>
          <w:b/>
          <w:bCs/>
          <w:rtl/>
        </w:rPr>
        <w:t xml:space="preserve">  (להלן: "הדירה המושכרת")  הדירה מושכרת בשכירות</w:t>
      </w:r>
      <w:r>
        <w:rPr>
          <w:rFonts w:ascii="David" w:hAnsi="David"/>
          <w:rtl/>
        </w:rPr>
        <w:t xml:space="preserve"> ..." </w:t>
      </w:r>
    </w:p>
    <w:p w:rsidR="00FA2997" w:rsidRDefault="00FA2997" w:rsidP="00FA2997">
      <w:pPr>
        <w:spacing w:line="360" w:lineRule="auto"/>
        <w:ind w:left="713"/>
        <w:jc w:val="both"/>
        <w:rPr>
          <w:rFonts w:ascii="David" w:hAnsi="David"/>
          <w:rtl/>
        </w:rPr>
      </w:pPr>
    </w:p>
    <w:p w:rsidR="00FA2997" w:rsidRDefault="00FA2997" w:rsidP="00FA2997">
      <w:pPr>
        <w:spacing w:line="360" w:lineRule="auto"/>
        <w:ind w:left="713"/>
        <w:jc w:val="both"/>
        <w:rPr>
          <w:rFonts w:ascii="David" w:hAnsi="David"/>
          <w:rtl/>
        </w:rPr>
      </w:pPr>
      <w:r>
        <w:rPr>
          <w:rFonts w:ascii="David" w:hAnsi="David"/>
          <w:rtl/>
        </w:rPr>
        <w:t>בהמשך הסעיף  הפנה המבקש לנספחים הרלוונטיים לדירות:</w:t>
      </w:r>
    </w:p>
    <w:p w:rsidR="00FA2997" w:rsidRDefault="00FA2997" w:rsidP="00FA2997">
      <w:pPr>
        <w:spacing w:line="360" w:lineRule="auto"/>
        <w:ind w:left="713"/>
        <w:jc w:val="both"/>
        <w:rPr>
          <w:rFonts w:ascii="David" w:hAnsi="David"/>
          <w:rtl/>
        </w:rPr>
      </w:pPr>
    </w:p>
    <w:p w:rsidR="00FA2997" w:rsidRDefault="00FA2997" w:rsidP="00FA2997">
      <w:pPr>
        <w:spacing w:line="360" w:lineRule="auto"/>
        <w:ind w:left="713"/>
        <w:jc w:val="both"/>
        <w:rPr>
          <w:rFonts w:ascii="David" w:hAnsi="David"/>
          <w:b/>
          <w:bCs/>
          <w:rtl/>
        </w:rPr>
      </w:pPr>
      <w:r>
        <w:rPr>
          <w:rFonts w:ascii="David" w:hAnsi="David"/>
          <w:rtl/>
        </w:rPr>
        <w:t>"</w:t>
      </w:r>
      <w:r>
        <w:rPr>
          <w:rFonts w:ascii="David" w:hAnsi="David"/>
          <w:b/>
          <w:bCs/>
          <w:rtl/>
        </w:rPr>
        <w:t xml:space="preserve">אישור זכויות עבור בית המגורים – </w:t>
      </w:r>
      <w:r>
        <w:rPr>
          <w:rFonts w:ascii="David" w:hAnsi="David"/>
          <w:b/>
          <w:bCs/>
          <w:u w:val="single"/>
          <w:rtl/>
        </w:rPr>
        <w:t>יצורף בהמשך לתיק התביעה, נוכח  קשיים בקבלתו ברמ"</w:t>
      </w:r>
      <w:r>
        <w:rPr>
          <w:rFonts w:ascii="David" w:hAnsi="David"/>
          <w:b/>
          <w:bCs/>
          <w:rtl/>
        </w:rPr>
        <w:t>י"</w:t>
      </w:r>
      <w:r>
        <w:rPr>
          <w:rFonts w:ascii="David" w:hAnsi="David" w:hint="cs"/>
          <w:b/>
          <w:bCs/>
          <w:rtl/>
        </w:rPr>
        <w:t>.</w:t>
      </w:r>
    </w:p>
    <w:p w:rsidR="00FA2997" w:rsidRDefault="00FA2997" w:rsidP="00FA2997">
      <w:pPr>
        <w:spacing w:line="360" w:lineRule="auto"/>
        <w:ind w:left="713"/>
        <w:jc w:val="both"/>
        <w:rPr>
          <w:rFonts w:ascii="David" w:hAnsi="David"/>
          <w:b/>
          <w:bCs/>
          <w:rtl/>
        </w:rPr>
      </w:pPr>
    </w:p>
    <w:p w:rsidR="00FA2997" w:rsidRDefault="00FA2997" w:rsidP="00FA2997">
      <w:pPr>
        <w:spacing w:line="360" w:lineRule="auto"/>
        <w:ind w:left="713"/>
        <w:jc w:val="both"/>
        <w:rPr>
          <w:rFonts w:ascii="David" w:hAnsi="David"/>
          <w:rtl/>
        </w:rPr>
      </w:pPr>
      <w:r>
        <w:rPr>
          <w:rFonts w:ascii="David" w:hAnsi="David"/>
          <w:b/>
          <w:bCs/>
          <w:rtl/>
        </w:rPr>
        <w:t xml:space="preserve">...מצ"ב  </w:t>
      </w:r>
      <w:r>
        <w:rPr>
          <w:rFonts w:ascii="David" w:hAnsi="David"/>
          <w:b/>
          <w:bCs/>
          <w:u w:val="single"/>
          <w:rtl/>
        </w:rPr>
        <w:t>כנספח 1'</w:t>
      </w:r>
      <w:r>
        <w:rPr>
          <w:rFonts w:ascii="David" w:hAnsi="David"/>
          <w:b/>
          <w:bCs/>
          <w:rtl/>
        </w:rPr>
        <w:t xml:space="preserve"> נסח טאבו עבור הדירה המושכרת-</w:t>
      </w:r>
      <w:r>
        <w:rPr>
          <w:rFonts w:ascii="David" w:hAnsi="David" w:hint="cs"/>
          <w:b/>
          <w:bCs/>
          <w:rtl/>
        </w:rPr>
        <w:t>---</w:t>
      </w:r>
      <w:r>
        <w:rPr>
          <w:rFonts w:ascii="David" w:hAnsi="David"/>
          <w:rtl/>
        </w:rPr>
        <w:t>" (הדגשים בקו תחתי במקור)</w:t>
      </w:r>
    </w:p>
    <w:p w:rsidR="00FA2997" w:rsidRDefault="00FA2997" w:rsidP="00FA2997">
      <w:pPr>
        <w:spacing w:line="360" w:lineRule="auto"/>
        <w:ind w:left="713" w:hanging="720"/>
        <w:jc w:val="both"/>
        <w:rPr>
          <w:rFonts w:ascii="David" w:hAnsi="David"/>
          <w:rtl/>
        </w:rPr>
      </w:pPr>
      <w:r>
        <w:rPr>
          <w:rFonts w:ascii="David" w:hAnsi="David"/>
          <w:rtl/>
        </w:rPr>
        <w:lastRenderedPageBreak/>
        <w:t>5.</w:t>
      </w:r>
      <w:r>
        <w:rPr>
          <w:rFonts w:ascii="David" w:hAnsi="David"/>
          <w:rtl/>
        </w:rPr>
        <w:tab/>
        <w:t>בסעיף 32 לכתב הגנתה התייחסה המשיבה לטענות התובע לעניין זכויות הבעלות בדירות, דחתה את תביעתו. בקשר עם הדירה הפנתה למכתב  של  בנק מזרחי טפחות מיום 1.4.2021 המתריע על כך שהדירה טרם נרשמה ע"ש הצדדים. המכתב צורף וסומן 17.</w:t>
      </w:r>
    </w:p>
    <w:p w:rsidR="00FA2997" w:rsidRDefault="00FA2997" w:rsidP="00FA2997">
      <w:pPr>
        <w:spacing w:line="360" w:lineRule="auto"/>
        <w:ind w:left="713" w:hanging="720"/>
        <w:jc w:val="both"/>
        <w:rPr>
          <w:rFonts w:ascii="David" w:hAnsi="David"/>
          <w:rtl/>
        </w:rPr>
      </w:pPr>
    </w:p>
    <w:p w:rsidR="00FA2997" w:rsidRDefault="00FA2997" w:rsidP="00FA2997">
      <w:pPr>
        <w:spacing w:line="480" w:lineRule="auto"/>
        <w:ind w:firstLine="720"/>
        <w:jc w:val="both"/>
        <w:rPr>
          <w:rFonts w:ascii="David" w:hAnsi="David"/>
          <w:rtl/>
        </w:rPr>
      </w:pPr>
      <w:r>
        <w:rPr>
          <w:rFonts w:ascii="David" w:hAnsi="David"/>
          <w:b/>
          <w:bCs/>
          <w:u w:val="single"/>
          <w:rtl/>
        </w:rPr>
        <w:t>הוספת ראיה מתווה נורמטיבי</w:t>
      </w:r>
      <w:r>
        <w:rPr>
          <w:rFonts w:ascii="David" w:hAnsi="David"/>
          <w:rtl/>
        </w:rPr>
        <w:t>:</w:t>
      </w:r>
    </w:p>
    <w:p w:rsidR="00FA2997" w:rsidRDefault="00FA2997" w:rsidP="00FA2997">
      <w:pPr>
        <w:spacing w:line="360" w:lineRule="auto"/>
        <w:ind w:left="720" w:hanging="720"/>
        <w:jc w:val="both"/>
        <w:rPr>
          <w:rFonts w:ascii="David" w:hAnsi="David"/>
          <w:rtl/>
        </w:rPr>
      </w:pPr>
      <w:r>
        <w:rPr>
          <w:rFonts w:ascii="David" w:hAnsi="David"/>
          <w:rtl/>
        </w:rPr>
        <w:t>6.</w:t>
      </w:r>
      <w:r>
        <w:rPr>
          <w:rFonts w:ascii="David" w:hAnsi="David"/>
          <w:rtl/>
        </w:rPr>
        <w:tab/>
        <w:t>ההלכה הנוהגת היא, שעל בית המשפט לנהוג בליברליות באשר לזכות הטיעון ואין עוד צורך לשוב על ההלכות אשר מסיגות את הפרוצדורה מפני המהות. יחד עם זאת, גם הליברליות הדיונית מחייבת כללים אימתי לא תנוצל הליברליות השיפוטית לאנרכיה התנהגותית.</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ab/>
        <w:t xml:space="preserve">בפרשת רוזין נקבע: </w:t>
      </w:r>
      <w:r>
        <w:rPr>
          <w:rFonts w:ascii="David" w:hAnsi="David"/>
          <w:b/>
          <w:bCs/>
          <w:rtl/>
        </w:rPr>
        <w:t xml:space="preserve">"אמנם כן הוא: דלתותיהם  של בתי המשפט פתוחות </w:t>
      </w:r>
      <w:r>
        <w:rPr>
          <w:rFonts w:ascii="David" w:hAnsi="David"/>
          <w:rtl/>
        </w:rPr>
        <w:t>...</w:t>
      </w:r>
      <w:r>
        <w:rPr>
          <w:rFonts w:ascii="David" w:hAnsi="David"/>
          <w:b/>
          <w:bCs/>
          <w:rtl/>
        </w:rPr>
        <w:t>ואולם, משעברנו את השערים ונכנסנו אל הטרקלין מחובתנו לשמור על סדרים שקבע בעל הבית...כלל הוא לעניין הגשת ראיות , שבעל דין אמור וחייב להגישן ב"חבילה אחת" – כך, לא בתפזורת, זעיר שם וזעיר שם".</w:t>
      </w:r>
      <w:r>
        <w:rPr>
          <w:rFonts w:ascii="David" w:hAnsi="David"/>
          <w:rtl/>
        </w:rPr>
        <w:t xml:space="preserve"> (</w:t>
      </w:r>
      <w:r>
        <w:rPr>
          <w:rFonts w:ascii="David" w:hAnsi="David"/>
          <w:u w:val="single"/>
          <w:rtl/>
        </w:rPr>
        <w:t xml:space="preserve">ע"א 579/90 </w:t>
      </w:r>
      <w:r>
        <w:rPr>
          <w:rFonts w:ascii="David" w:hAnsi="David"/>
          <w:b/>
          <w:bCs/>
          <w:rtl/>
        </w:rPr>
        <w:t xml:space="preserve">מרדכי וגילה רוזין </w:t>
      </w:r>
      <w:r>
        <w:rPr>
          <w:rFonts w:ascii="David" w:hAnsi="David"/>
          <w:rtl/>
        </w:rPr>
        <w:t>נ'</w:t>
      </w:r>
      <w:r>
        <w:rPr>
          <w:rFonts w:ascii="David" w:hAnsi="David"/>
          <w:b/>
          <w:bCs/>
          <w:rtl/>
        </w:rPr>
        <w:t xml:space="preserve"> צפורה בן נון</w:t>
      </w:r>
      <w:r>
        <w:rPr>
          <w:rFonts w:ascii="David" w:hAnsi="David"/>
          <w:rtl/>
        </w:rPr>
        <w:t xml:space="preserve"> פ"ד מו (3) 738, (05/07/1992)).</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בפרשת יום טוב נורדיה נקבע: "</w:t>
      </w:r>
      <w:r>
        <w:rPr>
          <w:rFonts w:ascii="David" w:hAnsi="David"/>
          <w:b/>
          <w:bCs/>
          <w:rtl/>
        </w:rPr>
        <w:t>אשר לליברליות בשמירה על קיום תקנות סדר הדין ונטיית בית משפט זה שלא לקפח זכות מהותית בשם פגם פורמליסטי, נטייה זו מצאה לה ביטוי הולם ב-</w:t>
      </w:r>
      <w:r>
        <w:rPr>
          <w:rFonts w:ascii="David" w:hAnsi="David"/>
          <w:b/>
          <w:bCs/>
          <w:u w:val="single"/>
          <w:rtl/>
        </w:rPr>
        <w:t>ע"א 189/66</w:t>
      </w:r>
      <w:r>
        <w:rPr>
          <w:rFonts w:ascii="David" w:hAnsi="David"/>
          <w:b/>
          <w:bCs/>
          <w:rtl/>
        </w:rPr>
        <w:t xml:space="preserve"> [4], בע' 479, לו הייתי שותף גם אני ואשר בו אמר השופט ברנזון כי "הפרוצדורה אינה מיטת סדום שבה מקצצים את רגליו או מתיזים את ראשו של בעל דין כדי להכניסו לתוכה כנכה או כבר-מינן". אולם, אין לשכוח כי דברים אלה לא נועדו להתיר את הרסן לכל בעל דין לנהוג בתקנות כאוות נפשו, רוצה – מקיימן, לא רוצה – אינו מקיימן</w:t>
      </w:r>
      <w:r>
        <w:rPr>
          <w:rFonts w:ascii="David" w:hAnsi="David"/>
          <w:rtl/>
        </w:rPr>
        <w:t>." (</w:t>
      </w:r>
      <w:r>
        <w:rPr>
          <w:rFonts w:ascii="David" w:hAnsi="David"/>
          <w:u w:val="single"/>
          <w:rtl/>
        </w:rPr>
        <w:t xml:space="preserve">ע"א 103/71 </w:t>
      </w:r>
      <w:r>
        <w:rPr>
          <w:rFonts w:ascii="David" w:hAnsi="David"/>
          <w:b/>
          <w:bCs/>
          <w:rtl/>
        </w:rPr>
        <w:t xml:space="preserve">יום טוב נורדיה </w:t>
      </w:r>
      <w:r>
        <w:rPr>
          <w:rFonts w:ascii="David" w:hAnsi="David"/>
          <w:rtl/>
        </w:rPr>
        <w:t>נ'</w:t>
      </w:r>
      <w:r>
        <w:rPr>
          <w:rFonts w:ascii="David" w:hAnsi="David"/>
          <w:b/>
          <w:bCs/>
          <w:rtl/>
        </w:rPr>
        <w:t xml:space="preserve"> ברוך בכר</w:t>
      </w:r>
      <w:r>
        <w:rPr>
          <w:rFonts w:ascii="David" w:hAnsi="David"/>
          <w:rtl/>
        </w:rPr>
        <w:t xml:space="preserve"> (17.1.1972)).</w:t>
      </w:r>
    </w:p>
    <w:p w:rsidR="00FA2997" w:rsidRDefault="00FA2997" w:rsidP="00FA2997">
      <w:pPr>
        <w:spacing w:line="360" w:lineRule="auto"/>
        <w:ind w:left="720"/>
        <w:jc w:val="both"/>
        <w:rPr>
          <w:rFonts w:ascii="David" w:hAnsi="David"/>
          <w:rtl/>
        </w:rPr>
      </w:pPr>
    </w:p>
    <w:p w:rsidR="00FA2997" w:rsidRDefault="00FA2997" w:rsidP="00FA2997">
      <w:pPr>
        <w:spacing w:line="360" w:lineRule="auto"/>
        <w:ind w:left="720"/>
        <w:jc w:val="both"/>
        <w:rPr>
          <w:rFonts w:ascii="David" w:hAnsi="David"/>
          <w:rtl/>
        </w:rPr>
      </w:pPr>
      <w:r>
        <w:rPr>
          <w:rFonts w:ascii="David" w:hAnsi="David"/>
          <w:rtl/>
        </w:rPr>
        <w:t>בפרשת חוסיין וורדה נקבע: "</w:t>
      </w:r>
      <w:r>
        <w:rPr>
          <w:rFonts w:ascii="David" w:hAnsi="David"/>
          <w:b/>
          <w:bCs/>
          <w:rtl/>
        </w:rPr>
        <w:t>הכלל האוסר קבלת ראיות לאחר שלב ההוכחות אינו כלל דיוני גרידה, אלא הוא נועד גם להבטיח את זכויותיו של הצד שכנגד ושלא ייפגע ניהולו התקין של המשפט. יש לשמור על האיזון העדין שבין הצדדים אשר עליו מושתת השיטה אדברסרית המכתיבה את סדר ניהול ההליך, על עקרון סופיות הדיון ועל השאיפה לנהל משפט בצורה יעילה. לצד זאת, ישנם מקרים שהצורך בגילוי וחשיפת האמת כה רב עד כדי להביא להטיית הכף לכיוון קבלת הראייה הנוספת, גם במחיר של פגיעה מסוימת בכללי הפרוצדורה ושיקולים דיוניים. הפסיקה הצביעה על כמה מבחנים שעלינו להביא בחשבון בבחינת השאלה האם להתיר הגשת שאלה מסוימת באיחור, אם לאו. למשל: תרומתה של הראייה שהוספתה מתבקשת לגילוי האמת. יש לבחון האם החיוב שבקבלת הראיה הנוספת עולה על השלילה שבסטייה מהנהלים הקבועים? בכדי להכריע בשאלה, בית המשפט יתחשב בין היתר בשלב בו נודע לצד המבקש הבאת הראייה דבר קיומה. במלים אחרות, האם הצד ידע או יכול היה לדעת על קיומה של הראייה בשלב מוקדם יותר</w:t>
      </w:r>
      <w:r>
        <w:rPr>
          <w:rFonts w:ascii="David" w:hAnsi="David"/>
          <w:rtl/>
        </w:rPr>
        <w:t>". (</w:t>
      </w:r>
      <w:r>
        <w:rPr>
          <w:rFonts w:ascii="David" w:hAnsi="David"/>
          <w:u w:val="single"/>
          <w:rtl/>
        </w:rPr>
        <w:t xml:space="preserve">רע"א 2715/13 </w:t>
      </w:r>
      <w:r>
        <w:rPr>
          <w:rFonts w:ascii="David" w:hAnsi="David"/>
          <w:b/>
          <w:bCs/>
          <w:rtl/>
        </w:rPr>
        <w:t xml:space="preserve">חוסיין וורדה </w:t>
      </w:r>
      <w:r>
        <w:rPr>
          <w:rFonts w:ascii="David" w:hAnsi="David"/>
          <w:rtl/>
        </w:rPr>
        <w:t>נ'</w:t>
      </w:r>
      <w:r>
        <w:rPr>
          <w:rFonts w:ascii="David" w:hAnsi="David"/>
          <w:b/>
          <w:bCs/>
          <w:rtl/>
        </w:rPr>
        <w:t xml:space="preserve"> מנהל מקרקעי ישראל ואח' </w:t>
      </w:r>
      <w:r>
        <w:rPr>
          <w:rFonts w:ascii="David" w:hAnsi="David"/>
          <w:rtl/>
        </w:rPr>
        <w:t xml:space="preserve">[28.11.2013] סעיף 4 להחלטה). (כן ראו </w:t>
      </w:r>
      <w:r>
        <w:rPr>
          <w:rFonts w:ascii="David" w:hAnsi="David"/>
          <w:u w:val="single"/>
          <w:rtl/>
        </w:rPr>
        <w:t>ע"א 189/66</w:t>
      </w:r>
      <w:r>
        <w:rPr>
          <w:rFonts w:ascii="David" w:hAnsi="David"/>
          <w:rtl/>
        </w:rPr>
        <w:t xml:space="preserve"> </w:t>
      </w:r>
      <w:r>
        <w:rPr>
          <w:rFonts w:ascii="David" w:hAnsi="David"/>
          <w:b/>
          <w:bCs/>
          <w:rtl/>
        </w:rPr>
        <w:t xml:space="preserve">עזיז ששון </w:t>
      </w:r>
      <w:r>
        <w:rPr>
          <w:rFonts w:ascii="David" w:hAnsi="David"/>
          <w:rtl/>
        </w:rPr>
        <w:t xml:space="preserve">נ' </w:t>
      </w:r>
      <w:r>
        <w:rPr>
          <w:rFonts w:ascii="David" w:hAnsi="David"/>
          <w:b/>
          <w:bCs/>
          <w:rtl/>
        </w:rPr>
        <w:t>קדמה בע"מ, בית חרושת למכונאות וציוד</w:t>
      </w:r>
      <w:r>
        <w:rPr>
          <w:rFonts w:ascii="David" w:hAnsi="David"/>
          <w:rtl/>
        </w:rPr>
        <w:t xml:space="preserve"> פד"י כ(3)477 (18.7.1966)).</w:t>
      </w:r>
    </w:p>
    <w:p w:rsidR="00FA2997" w:rsidRDefault="00FA2997" w:rsidP="00FA2997">
      <w:pPr>
        <w:spacing w:line="360" w:lineRule="auto"/>
        <w:ind w:left="720"/>
        <w:jc w:val="both"/>
        <w:rPr>
          <w:rFonts w:ascii="David" w:hAnsi="David"/>
        </w:rPr>
      </w:pPr>
    </w:p>
    <w:p w:rsidR="00FA2997" w:rsidRDefault="00FA2997" w:rsidP="00FA2997">
      <w:pPr>
        <w:spacing w:line="360" w:lineRule="auto"/>
        <w:ind w:left="720" w:hanging="720"/>
        <w:jc w:val="both"/>
        <w:rPr>
          <w:rFonts w:ascii="David" w:hAnsi="David"/>
          <w:rtl/>
        </w:rPr>
      </w:pPr>
      <w:r>
        <w:rPr>
          <w:rFonts w:ascii="David" w:hAnsi="David"/>
          <w:rtl/>
        </w:rPr>
        <w:tab/>
        <w:t>בנסיבות מסוימות יותר לבעל דין להוסיף ראיה אף בשלב ערעור. על כן חזקה שיכול בעל דין, באישור בית המשפט, להגיש ראיה לערכאה דיונית, גם בשלב בו מצוי תיק זה לאחר תום  שמיעת ההוכחות. ברם, הוספת ראיה בשלב זה מחייבת ההוספה עמידה בכללים הקבועים לצורך כך "</w:t>
      </w:r>
      <w:r>
        <w:rPr>
          <w:rFonts w:ascii="David" w:hAnsi="David"/>
          <w:b/>
          <w:bCs/>
          <w:rtl/>
        </w:rPr>
        <w:t>וככלל יש להקפיד על סדרי דין תקינים, לרבות המצאת ראיות בשלב הנועד לכך</w:t>
      </w:r>
      <w:r>
        <w:rPr>
          <w:rFonts w:ascii="David" w:hAnsi="David"/>
          <w:rtl/>
        </w:rPr>
        <w:t xml:space="preserve">" ( </w:t>
      </w:r>
      <w:r>
        <w:rPr>
          <w:rFonts w:ascii="David" w:hAnsi="David"/>
          <w:u w:val="single"/>
          <w:rtl/>
        </w:rPr>
        <w:t xml:space="preserve">ע"א 714/88 </w:t>
      </w:r>
      <w:r>
        <w:rPr>
          <w:rFonts w:ascii="David" w:hAnsi="David"/>
          <w:b/>
          <w:bCs/>
          <w:rtl/>
        </w:rPr>
        <w:t xml:space="preserve">שנצר </w:t>
      </w:r>
      <w:r>
        <w:rPr>
          <w:rFonts w:ascii="David" w:hAnsi="David"/>
          <w:rtl/>
        </w:rPr>
        <w:t>נ'</w:t>
      </w:r>
      <w:r>
        <w:rPr>
          <w:rFonts w:ascii="David" w:hAnsi="David"/>
          <w:b/>
          <w:bCs/>
          <w:rtl/>
        </w:rPr>
        <w:t xml:space="preserve"> ריבלין</w:t>
      </w:r>
      <w:r>
        <w:rPr>
          <w:rFonts w:ascii="David" w:hAnsi="David"/>
          <w:rtl/>
        </w:rPr>
        <w:t xml:space="preserve"> פ"ד מה (2) 89, 95 (21/02/1991)). </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ab/>
      </w:r>
      <w:r>
        <w:rPr>
          <w:rFonts w:ascii="David" w:hAnsi="David"/>
          <w:b/>
          <w:bCs/>
          <w:u w:val="single"/>
          <w:rtl/>
        </w:rPr>
        <w:t>מן הכלל אל הפרט</w:t>
      </w:r>
      <w:r>
        <w:rPr>
          <w:rFonts w:ascii="David" w:hAnsi="David"/>
          <w:b/>
          <w:bCs/>
          <w:rtl/>
        </w:rPr>
        <w:t>:</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7.</w:t>
      </w:r>
      <w:r>
        <w:rPr>
          <w:rFonts w:ascii="David" w:hAnsi="David"/>
          <w:rtl/>
        </w:rPr>
        <w:tab/>
        <w:t xml:space="preserve">לצורך קבלת ראיה נוספת לאחר המועד להגשת ראיות על בית המשפט לבחון הן את מרכזיותה של הראיה וחשיבותה והן את קבילותה לו הייתה מוגשת במועד. המבקש לא העלה כל הסבר או תשתית לכך.  הסבר שכזה הוא מהותי ובהעדרו די בכך כדי לדחות הבקשה.(עניין </w:t>
      </w:r>
      <w:r>
        <w:rPr>
          <w:rFonts w:ascii="David" w:hAnsi="David"/>
          <w:u w:val="single"/>
          <w:rtl/>
        </w:rPr>
        <w:t xml:space="preserve">ע"א 189/66 </w:t>
      </w:r>
      <w:r>
        <w:rPr>
          <w:rFonts w:ascii="David" w:hAnsi="David"/>
          <w:rtl/>
        </w:rPr>
        <w:t xml:space="preserve">ששון נ' קדימה הנ"ל). זאת ועוד, הגשת הבקשה לעת הזו עשויה </w:t>
      </w:r>
      <w:r>
        <w:rPr>
          <w:rFonts w:ascii="David" w:hAnsi="David"/>
          <w:b/>
          <w:bCs/>
          <w:rtl/>
        </w:rPr>
        <w:t>"</w:t>
      </w:r>
      <w:r>
        <w:rPr>
          <w:rFonts w:ascii="David" w:hAnsi="David"/>
          <w:rtl/>
        </w:rPr>
        <w:t>...</w:t>
      </w:r>
      <w:r>
        <w:rPr>
          <w:rFonts w:ascii="David" w:hAnsi="David"/>
          <w:b/>
          <w:bCs/>
          <w:rtl/>
        </w:rPr>
        <w:t>להפר את האיזון  העדין שבין הצדדים"</w:t>
      </w:r>
      <w:r>
        <w:rPr>
          <w:rFonts w:ascii="David" w:hAnsi="David"/>
          <w:rtl/>
        </w:rPr>
        <w:t xml:space="preserve"> (</w:t>
      </w:r>
      <w:r>
        <w:rPr>
          <w:rFonts w:ascii="David" w:hAnsi="David"/>
          <w:u w:val="single"/>
          <w:rtl/>
        </w:rPr>
        <w:t>בש"א</w:t>
      </w:r>
      <w:r>
        <w:rPr>
          <w:rFonts w:ascii="David" w:hAnsi="David"/>
          <w:rtl/>
        </w:rPr>
        <w:t xml:space="preserve"> </w:t>
      </w:r>
      <w:r>
        <w:rPr>
          <w:rFonts w:ascii="David" w:hAnsi="David"/>
          <w:u w:val="single"/>
          <w:rtl/>
        </w:rPr>
        <w:t xml:space="preserve">(מחוזי ירושלים) 7984/09 </w:t>
      </w:r>
      <w:r>
        <w:rPr>
          <w:rFonts w:ascii="David" w:hAnsi="David"/>
          <w:b/>
          <w:bCs/>
          <w:rtl/>
        </w:rPr>
        <w:t xml:space="preserve">רוזן </w:t>
      </w:r>
      <w:r>
        <w:rPr>
          <w:rFonts w:ascii="David" w:hAnsi="David"/>
          <w:rtl/>
        </w:rPr>
        <w:t>נ'</w:t>
      </w:r>
      <w:r>
        <w:rPr>
          <w:rFonts w:ascii="David" w:hAnsi="David"/>
          <w:b/>
          <w:bCs/>
          <w:rtl/>
        </w:rPr>
        <w:t xml:space="preserve"> ארזי הבירה בע"מ</w:t>
      </w:r>
      <w:r>
        <w:rPr>
          <w:rFonts w:ascii="David" w:hAnsi="David"/>
          <w:rtl/>
        </w:rPr>
        <w:t xml:space="preserve"> (09/07/2009)). </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8.</w:t>
      </w:r>
      <w:r>
        <w:rPr>
          <w:rFonts w:ascii="David" w:hAnsi="David"/>
          <w:rtl/>
        </w:rPr>
        <w:tab/>
        <w:t>בקשתו של המבקש נסמכת על שני אדנים: האחד, המחדל לאי צירופו לתיק חרף הודעתו שיעשה כן כבר בכתב התביעה, נגרם בשל חילופי עורכי הדין המייצגים. השני, חשיבותו של המסמך, שאי צירופו יגרום לו נזק כלכלי משמעותי שכן יש בו תמיכה בטענותיו משכבר בדבר זכויות בדירה.</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ab/>
        <w:t xml:space="preserve">בשני אדנים אין ממש בכדי להורות על צירופו של המסמך לתיק. אבהיר. </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9.</w:t>
      </w:r>
      <w:r>
        <w:rPr>
          <w:rFonts w:ascii="David" w:hAnsi="David"/>
          <w:rtl/>
        </w:rPr>
        <w:tab/>
        <w:t xml:space="preserve">כזכור, המבקש ביסס את בקשתו להוספת המסמך על כך שכבר בכתב התביעה העלה את הקושי בהשגתו והודיע שיצרפו מאוחר יותר לתיק. כפי שצוטט לעיל מכתב התביעה עולה  שאין ממש בטענת המבקש: המסמך אליו התייחס בכתב התביעה ושאותו ביקש/הודיע להציג בשלב מאוחר יותר היה ביחס לבית המגורים ולא הדירה המושכרת כהגדרתן בתביעה וצוטטו לעיל. </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20"/>
        <w:jc w:val="both"/>
        <w:rPr>
          <w:rFonts w:ascii="David" w:hAnsi="David"/>
          <w:rtl/>
        </w:rPr>
      </w:pPr>
      <w:r>
        <w:rPr>
          <w:rFonts w:ascii="David" w:hAnsi="David"/>
          <w:rtl/>
        </w:rPr>
        <w:tab/>
        <w:t>למען הסר ספק הדירה המושכרת כהגדרתה בכתב התביעה היא הדירה.</w:t>
      </w:r>
    </w:p>
    <w:p w:rsidR="00FA2997" w:rsidRDefault="00FA2997" w:rsidP="00FA2997">
      <w:pPr>
        <w:spacing w:line="360" w:lineRule="auto"/>
        <w:ind w:left="720" w:hanging="720"/>
        <w:jc w:val="both"/>
        <w:rPr>
          <w:rFonts w:ascii="David" w:hAnsi="David"/>
          <w:rtl/>
        </w:rPr>
      </w:pPr>
    </w:p>
    <w:p w:rsidR="00FA2997" w:rsidRDefault="00FA2997" w:rsidP="00FA2997">
      <w:pPr>
        <w:spacing w:line="360" w:lineRule="auto"/>
        <w:ind w:left="720" w:hanging="7"/>
        <w:jc w:val="both"/>
        <w:rPr>
          <w:rFonts w:ascii="David" w:hAnsi="David"/>
          <w:rtl/>
        </w:rPr>
      </w:pPr>
      <w:r>
        <w:rPr>
          <w:rFonts w:ascii="David" w:hAnsi="David"/>
          <w:rtl/>
        </w:rPr>
        <w:t>אמור מעתה שעל פי כתב התביעה מדובר במסמך אחר לחלוטין.</w:t>
      </w:r>
    </w:p>
    <w:p w:rsidR="00FA2997" w:rsidRDefault="00FA2997" w:rsidP="00FA2997">
      <w:pPr>
        <w:spacing w:line="360" w:lineRule="auto"/>
        <w:ind w:left="720" w:hanging="7"/>
        <w:jc w:val="both"/>
        <w:rPr>
          <w:rFonts w:ascii="David" w:hAnsi="David"/>
          <w:rtl/>
        </w:rPr>
      </w:pPr>
    </w:p>
    <w:p w:rsidR="00FA2997" w:rsidRDefault="00FA2997" w:rsidP="00FA2997">
      <w:pPr>
        <w:spacing w:line="360" w:lineRule="auto"/>
        <w:ind w:left="713" w:hanging="720"/>
        <w:jc w:val="both"/>
        <w:rPr>
          <w:rFonts w:ascii="David" w:hAnsi="David"/>
          <w:rtl/>
        </w:rPr>
      </w:pPr>
      <w:r>
        <w:rPr>
          <w:rFonts w:ascii="David" w:hAnsi="David"/>
          <w:rtl/>
        </w:rPr>
        <w:t>10.</w:t>
      </w:r>
      <w:r>
        <w:rPr>
          <w:rFonts w:ascii="David" w:hAnsi="David"/>
          <w:rtl/>
        </w:rPr>
        <w:tab/>
        <w:t>בכך לא די. לטענת המבקש המסמך התקבל אצלו ביום 18.12.2022 (הוא גם תאריך עריכת המסמך). בסעיף 4 לבקשתו טען המבקש  ש"</w:t>
      </w:r>
      <w:r>
        <w:rPr>
          <w:rFonts w:ascii="David" w:hAnsi="David"/>
          <w:b/>
          <w:bCs/>
          <w:rtl/>
        </w:rPr>
        <w:t>בחודש 12/22 פיטר המבקש מייצוג את עו"ד מורן סמון מה שגרם בשגגה לחוסר המסמך בתיק שבכותרת</w:t>
      </w:r>
      <w:r>
        <w:rPr>
          <w:rFonts w:ascii="David" w:hAnsi="David"/>
          <w:rtl/>
        </w:rPr>
        <w:t xml:space="preserve">". ראוי היה לה לטענה זו שלא עלתה משעלתה הן ביחס לעובדות והן במרומז לכשל, לכאורה, של עו"ד של סמון. </w:t>
      </w:r>
    </w:p>
    <w:p w:rsidR="00FA2997" w:rsidRDefault="00FA2997" w:rsidP="00FA2997">
      <w:pPr>
        <w:spacing w:line="360" w:lineRule="auto"/>
        <w:ind w:left="713" w:hanging="720"/>
        <w:jc w:val="both"/>
        <w:rPr>
          <w:rFonts w:ascii="David" w:hAnsi="David"/>
          <w:rtl/>
        </w:rPr>
      </w:pPr>
    </w:p>
    <w:p w:rsidR="00FA2997" w:rsidRDefault="00FA2997" w:rsidP="00FA2997">
      <w:pPr>
        <w:spacing w:line="360" w:lineRule="auto"/>
        <w:ind w:left="713"/>
        <w:jc w:val="both"/>
        <w:rPr>
          <w:rFonts w:ascii="David" w:hAnsi="David"/>
          <w:rtl/>
        </w:rPr>
      </w:pPr>
      <w:r>
        <w:rPr>
          <w:rFonts w:ascii="David" w:hAnsi="David"/>
          <w:rtl/>
        </w:rPr>
        <w:t xml:space="preserve"> אין לפני כל ראיה שממנה ניתן ללמוד שאי הגשת המסמך לתיק קשור בחילופי המייצגים בתיק וזאת בלשון המעטה. </w:t>
      </w:r>
    </w:p>
    <w:p w:rsidR="00FA2997" w:rsidRDefault="00FA2997" w:rsidP="00FA2997">
      <w:pPr>
        <w:spacing w:line="360" w:lineRule="auto"/>
        <w:ind w:left="713"/>
        <w:jc w:val="both"/>
        <w:rPr>
          <w:rFonts w:ascii="David" w:hAnsi="David"/>
          <w:rtl/>
        </w:rPr>
      </w:pPr>
    </w:p>
    <w:p w:rsidR="00FA2997" w:rsidRDefault="00FA2997" w:rsidP="00FA2997">
      <w:pPr>
        <w:spacing w:line="360" w:lineRule="auto"/>
        <w:ind w:left="713"/>
        <w:jc w:val="both"/>
        <w:rPr>
          <w:rFonts w:ascii="David" w:hAnsi="David"/>
          <w:rtl/>
        </w:rPr>
      </w:pPr>
      <w:r>
        <w:rPr>
          <w:rFonts w:ascii="David" w:hAnsi="David"/>
          <w:u w:val="single"/>
          <w:rtl/>
        </w:rPr>
        <w:t>נהפוך הוא</w:t>
      </w:r>
      <w:r>
        <w:rPr>
          <w:rFonts w:ascii="David" w:hAnsi="David"/>
          <w:rtl/>
        </w:rPr>
        <w:t xml:space="preserve">. </w:t>
      </w:r>
    </w:p>
    <w:p w:rsidR="00FA2997" w:rsidRDefault="00FA2997" w:rsidP="00FA2997">
      <w:pPr>
        <w:spacing w:line="360" w:lineRule="auto"/>
        <w:ind w:left="713"/>
        <w:jc w:val="both"/>
        <w:rPr>
          <w:rFonts w:ascii="David" w:hAnsi="David"/>
          <w:rtl/>
        </w:rPr>
      </w:pPr>
    </w:p>
    <w:p w:rsidR="00FA2997" w:rsidRDefault="00FA2997" w:rsidP="00FA2997">
      <w:pPr>
        <w:spacing w:line="360" w:lineRule="auto"/>
        <w:ind w:left="713"/>
        <w:jc w:val="both"/>
        <w:rPr>
          <w:rFonts w:ascii="David" w:hAnsi="David"/>
          <w:rtl/>
        </w:rPr>
      </w:pPr>
      <w:r>
        <w:rPr>
          <w:rFonts w:ascii="David" w:hAnsi="David"/>
          <w:rtl/>
        </w:rPr>
        <w:t xml:space="preserve">ביום 11.12.2022, 6 ימים לפני הוצאת המסמך הוגש לתיק ייפוי הכוח של מייצגו הנוכחי של המבקש. עיון בייפוי הכוח שצורף מלמד שזה נחתם על ידי המבקש ביום  2.12.2022. לאור זאת מה הקשר לפיטוריה של עו"ד  סמון לאי הגשת המסמך לתיק? המסמך התקבל אצל התובע, ביום 18.12.2022 כשכבר היה מיוצג על ידי עורך דינו הנוכחי. </w:t>
      </w:r>
    </w:p>
    <w:p w:rsidR="00FA2997" w:rsidRDefault="00FA2997" w:rsidP="00FA2997">
      <w:pPr>
        <w:spacing w:line="360" w:lineRule="auto"/>
        <w:ind w:left="713"/>
        <w:jc w:val="both"/>
        <w:rPr>
          <w:rFonts w:ascii="David" w:hAnsi="David"/>
          <w:rtl/>
        </w:rPr>
      </w:pPr>
      <w:r>
        <w:rPr>
          <w:rFonts w:ascii="David" w:hAnsi="David"/>
          <w:rtl/>
        </w:rPr>
        <w:t>לשון אחר, עת קיבל המבקש את המסמך (גם אם אניח שהתקבל אצלו באותו יום בו נערך אולם יובהר שאין הסבר כיצד הגיע המסמך לידיו) כבר היה מיוצג על ידי בא כוחו הנוכחי ומדוע לא שלח מסמך זה לעורך דינו שמיצג אותו היום? אין בבקשה הסבר מדוע לא העבירו לעורך דינו דהיום שייצגו כבר אז בעת שקיבל המבקש את המסמך. מדוע שורבב שמה של עו"ד סמון כהסבר לאי צרוף המסמך?</w:t>
      </w:r>
    </w:p>
    <w:p w:rsidR="00FA2997" w:rsidRDefault="00FA2997" w:rsidP="00FA2997">
      <w:pPr>
        <w:spacing w:line="360" w:lineRule="auto"/>
        <w:ind w:left="713"/>
        <w:jc w:val="both"/>
        <w:rPr>
          <w:rFonts w:ascii="David" w:hAnsi="David"/>
          <w:rtl/>
        </w:rPr>
      </w:pPr>
    </w:p>
    <w:p w:rsidR="00FA2997" w:rsidRDefault="00FA2997" w:rsidP="00FA2997">
      <w:pPr>
        <w:spacing w:line="360" w:lineRule="auto"/>
        <w:ind w:left="713"/>
        <w:jc w:val="both"/>
        <w:rPr>
          <w:rFonts w:ascii="David" w:hAnsi="David"/>
          <w:rtl/>
        </w:rPr>
      </w:pPr>
      <w:r>
        <w:rPr>
          <w:rFonts w:ascii="David" w:hAnsi="David"/>
          <w:u w:val="single"/>
          <w:rtl/>
        </w:rPr>
        <w:t>אמור מעתה שאין כל קשר לחילופי המייצגים לאי הגשתו של המסמך ועל כן אין בפי המבקש כל הסבר לאי הגשת המסמך במועד</w:t>
      </w:r>
      <w:r>
        <w:rPr>
          <w:rFonts w:ascii="David" w:hAnsi="David"/>
          <w:rtl/>
        </w:rPr>
        <w:t xml:space="preserve">. </w:t>
      </w:r>
    </w:p>
    <w:p w:rsidR="00FA2997" w:rsidRDefault="00FA2997" w:rsidP="00FA2997">
      <w:pPr>
        <w:spacing w:line="360" w:lineRule="auto"/>
        <w:ind w:left="713"/>
        <w:jc w:val="both"/>
        <w:rPr>
          <w:rFonts w:ascii="David" w:hAnsi="David"/>
          <w:rtl/>
        </w:rPr>
      </w:pPr>
    </w:p>
    <w:p w:rsidR="00FA2997" w:rsidRDefault="00FA2997" w:rsidP="00FA2997">
      <w:pPr>
        <w:spacing w:line="360" w:lineRule="auto"/>
        <w:ind w:left="713" w:hanging="720"/>
        <w:jc w:val="both"/>
        <w:rPr>
          <w:rFonts w:ascii="David" w:hAnsi="David"/>
          <w:rtl/>
        </w:rPr>
      </w:pPr>
      <w:r>
        <w:rPr>
          <w:rFonts w:ascii="David" w:hAnsi="David"/>
          <w:rtl/>
        </w:rPr>
        <w:t>11.</w:t>
      </w:r>
      <w:r>
        <w:rPr>
          <w:rFonts w:ascii="David" w:hAnsi="David"/>
          <w:rtl/>
        </w:rPr>
        <w:tab/>
        <w:t xml:space="preserve">קבלת הבקשה לאחר תום פרשת ההוכחות, מקשה ומסבכת את ההליך בצורה בלתי מתקבלת על הדעת אשר עשויה להאריך את ההתדיינות בפרק זמן ארוך. כזכור, מדובר בתביעה מחודש 04/2021 הצדדים סיימו את חקירותיהם ועומדים לפני הגשת סיכומים. </w:t>
      </w:r>
    </w:p>
    <w:p w:rsidR="00FA2997" w:rsidRDefault="00FA2997" w:rsidP="00FA2997">
      <w:pPr>
        <w:spacing w:line="360" w:lineRule="auto"/>
        <w:ind w:left="713" w:hanging="720"/>
        <w:jc w:val="both"/>
        <w:rPr>
          <w:rFonts w:ascii="David" w:hAnsi="David"/>
          <w:rtl/>
        </w:rPr>
      </w:pPr>
      <w:r>
        <w:rPr>
          <w:rFonts w:ascii="David" w:hAnsi="David"/>
          <w:rtl/>
        </w:rPr>
        <w:t>12.</w:t>
      </w:r>
      <w:r>
        <w:rPr>
          <w:rFonts w:ascii="David" w:hAnsi="David"/>
          <w:rtl/>
        </w:rPr>
        <w:tab/>
        <w:t>גם מהותו של המסמך מקשה על קבלתו. לא ברור מכוח מה נכתב המסמך? לאיזה צורך? על בסיס איזה מידע נכתב?  לבקשת מי? מתי? מה הם אותם "</w:t>
      </w:r>
      <w:r>
        <w:rPr>
          <w:rFonts w:ascii="David" w:hAnsi="David"/>
          <w:b/>
          <w:bCs/>
          <w:rtl/>
        </w:rPr>
        <w:t>מסמכים המצויים בתיק הרוכשים במשרדנו</w:t>
      </w:r>
      <w:r>
        <w:rPr>
          <w:rFonts w:ascii="David" w:hAnsi="David"/>
          <w:rtl/>
        </w:rPr>
        <w:t>" כמובהר במסמך? מה משמעות ההסתייגות ביחס לידיעת החתום על המסמך "</w:t>
      </w:r>
      <w:r>
        <w:rPr>
          <w:rFonts w:ascii="David" w:hAnsi="David"/>
          <w:b/>
          <w:bCs/>
          <w:rtl/>
        </w:rPr>
        <w:t>באשר למצב הזכויות בדירה לפי המופיע בכל רישום אחר המתנהל לגביו</w:t>
      </w:r>
      <w:r>
        <w:rPr>
          <w:rFonts w:ascii="David" w:hAnsi="David"/>
          <w:rtl/>
        </w:rPr>
        <w:t xml:space="preserve">"? מה משמעות ההבהרה " </w:t>
      </w:r>
      <w:r>
        <w:rPr>
          <w:rFonts w:ascii="David" w:hAnsi="David"/>
          <w:b/>
          <w:bCs/>
          <w:rtl/>
        </w:rPr>
        <w:t>כמו כן אין באישור זה כדי לגרוע מאחריותכם לבדוק ברשויות השונות לרבות רשם המשכונות, רשות מקרקעי ישראל</w:t>
      </w:r>
      <w:r>
        <w:rPr>
          <w:rFonts w:ascii="David" w:hAnsi="David"/>
          <w:rtl/>
        </w:rPr>
        <w:t xml:space="preserve">" הרלוונטיות של הרישום לבעלות בפועל? מעבר לכל תהיות אלו מדוע לא הוזמן עורכו להגשתו באמצעותו. יובהר שוב, איני מקבל את הטענה שנודע למבקש רק במהלך הדיון שהמסמך לא הוגש – זו טענה שאינה מתקבלת על דעתי. </w:t>
      </w:r>
    </w:p>
    <w:p w:rsidR="00FA2997" w:rsidRDefault="00FA2997" w:rsidP="00FA2997">
      <w:pPr>
        <w:spacing w:line="360" w:lineRule="auto"/>
        <w:ind w:left="713" w:hanging="720"/>
        <w:jc w:val="both"/>
        <w:rPr>
          <w:rFonts w:ascii="David" w:hAnsi="David"/>
          <w:rtl/>
        </w:rPr>
      </w:pPr>
    </w:p>
    <w:p w:rsidR="00FA2997" w:rsidRDefault="00FA2997" w:rsidP="00FA2997">
      <w:pPr>
        <w:spacing w:line="360" w:lineRule="auto"/>
        <w:ind w:left="720" w:hanging="720"/>
        <w:jc w:val="both"/>
        <w:rPr>
          <w:rFonts w:asciiTheme="minorHAnsi" w:hAnsiTheme="minorHAnsi"/>
          <w:rtl/>
        </w:rPr>
      </w:pPr>
      <w:r>
        <w:rPr>
          <w:rtl/>
        </w:rPr>
        <w:tab/>
        <w:t>"...</w:t>
      </w:r>
      <w:r>
        <w:rPr>
          <w:b/>
          <w:bCs/>
          <w:rtl/>
        </w:rPr>
        <w:t xml:space="preserve"> ניתן להעניק משמעות ראייתית: לאי הבאת ראיה, לאי השמעת עד, לאי הצגת שאלות לעד</w:t>
      </w:r>
      <w:r>
        <w:rPr>
          <w:rtl/>
        </w:rPr>
        <w:t xml:space="preserve">..." (יעקב קדמי </w:t>
      </w:r>
      <w:r>
        <w:rPr>
          <w:u w:val="single"/>
          <w:rtl/>
        </w:rPr>
        <w:t>על הראיות</w:t>
      </w:r>
      <w:r>
        <w:rPr>
          <w:rtl/>
        </w:rPr>
        <w:t xml:space="preserve"> (חלק שלישי) (1999) (להלן: </w:t>
      </w:r>
      <w:r>
        <w:rPr>
          <w:b/>
          <w:bCs/>
          <w:rtl/>
        </w:rPr>
        <w:t>קדמי</w:t>
      </w:r>
      <w:r>
        <w:rPr>
          <w:rtl/>
        </w:rPr>
        <w:t xml:space="preserve">) בעמ' 1391). "... </w:t>
      </w:r>
      <w:r>
        <w:rPr>
          <w:b/>
          <w:bCs/>
          <w:rtl/>
        </w:rPr>
        <w:t>על הכלל שאי הבאתו של עד רלבנטי יוצרת הנחה לרעת הצד שאמור היה להזמינו עמד בית משפט נכבד זה בע"פ 112/52... ובע"א 373/54</w:t>
      </w:r>
      <w:r>
        <w:rPr>
          <w:rtl/>
        </w:rPr>
        <w:t>..." (קדמי עמ' 1393).</w:t>
      </w:r>
    </w:p>
    <w:p w:rsidR="00FA2997" w:rsidRDefault="00FA2997" w:rsidP="00FA2997">
      <w:pPr>
        <w:spacing w:line="360" w:lineRule="auto"/>
        <w:ind w:left="720" w:hanging="720"/>
        <w:jc w:val="both"/>
        <w:rPr>
          <w:rFonts w:asciiTheme="minorHAnsi" w:hAnsiTheme="minorHAnsi"/>
          <w:rtl/>
        </w:rPr>
      </w:pPr>
    </w:p>
    <w:p w:rsidR="00FA2997" w:rsidRDefault="00FA2997" w:rsidP="00FA2997">
      <w:pPr>
        <w:spacing w:line="360" w:lineRule="auto"/>
        <w:ind w:left="720" w:hanging="720"/>
        <w:jc w:val="both"/>
        <w:rPr>
          <w:rtl/>
        </w:rPr>
      </w:pPr>
      <w:r>
        <w:rPr>
          <w:rtl/>
        </w:rPr>
        <w:lastRenderedPageBreak/>
        <w:tab/>
        <w:t>עוד נקבע ש</w:t>
      </w:r>
      <w:r>
        <w:rPr>
          <w:b/>
          <w:bCs/>
          <w:rtl/>
        </w:rPr>
        <w:t xml:space="preserve"> "אי הבאת עד רלוונטי מעוררת, מדרך הטבע, את החשד, כי יש דברים בגו וכי בעל הדין, שנמנע מהבאתו, חושש מעדותו מחשיפתו לחקירה שכנגד</w:t>
      </w:r>
      <w:r>
        <w:rPr>
          <w:rtl/>
        </w:rPr>
        <w:t>...</w:t>
      </w:r>
      <w:r>
        <w:rPr>
          <w:b/>
          <w:bCs/>
          <w:rtl/>
        </w:rPr>
        <w:t xml:space="preserve">אי העדת עד רלוונטי </w:t>
      </w:r>
      <w:r w:rsidRPr="007D1F9D">
        <w:rPr>
          <w:b/>
          <w:bCs/>
          <w:rtl/>
        </w:rPr>
        <w:t>יוצרת הנחה לרעת הצד שאמור היה להזמינו</w:t>
      </w:r>
      <w:r w:rsidRPr="007D1F9D">
        <w:rPr>
          <w:b/>
          <w:bCs/>
          <w:spacing w:val="-4"/>
          <w:rtl/>
        </w:rPr>
        <w:t>.</w:t>
      </w:r>
      <w:r w:rsidRPr="007D1F9D">
        <w:rPr>
          <w:spacing w:val="-4"/>
          <w:rtl/>
        </w:rPr>
        <w:t xml:space="preserve">.." </w:t>
      </w:r>
      <w:r w:rsidRPr="00FA2997">
        <w:rPr>
          <w:spacing w:val="-4"/>
          <w:rtl/>
        </w:rPr>
        <w:t xml:space="preserve">( </w:t>
      </w:r>
      <w:hyperlink r:id="rId6" w:history="1">
        <w:r w:rsidRPr="00FA2997">
          <w:rPr>
            <w:rStyle w:val="Hyperlink"/>
            <w:color w:val="auto"/>
            <w:spacing w:val="-4"/>
            <w:rtl/>
          </w:rPr>
          <w:t>ע"א 641/87</w:t>
        </w:r>
      </w:hyperlink>
      <w:r w:rsidRPr="007D1F9D">
        <w:rPr>
          <w:spacing w:val="-4"/>
          <w:rtl/>
        </w:rPr>
        <w:t xml:space="preserve"> </w:t>
      </w:r>
      <w:r w:rsidRPr="007D1F9D">
        <w:rPr>
          <w:rFonts w:hint="cs"/>
          <w:b/>
          <w:bCs/>
          <w:spacing w:val="-4"/>
          <w:rtl/>
        </w:rPr>
        <w:t xml:space="preserve">קלוגר </w:t>
      </w:r>
      <w:r w:rsidRPr="007D1F9D">
        <w:rPr>
          <w:rFonts w:hint="cs"/>
          <w:spacing w:val="-4"/>
          <w:rtl/>
        </w:rPr>
        <w:t>נ'</w:t>
      </w:r>
      <w:r w:rsidRPr="007D1F9D">
        <w:rPr>
          <w:rFonts w:hint="cs"/>
          <w:b/>
          <w:bCs/>
          <w:spacing w:val="-4"/>
          <w:rtl/>
        </w:rPr>
        <w:t xml:space="preserve"> החברה הישראלית </w:t>
      </w:r>
      <w:r>
        <w:rPr>
          <w:rFonts w:hint="cs"/>
          <w:b/>
          <w:bCs/>
          <w:spacing w:val="-4"/>
          <w:rtl/>
        </w:rPr>
        <w:t>לטרקטורים וציון בע"מ</w:t>
      </w:r>
      <w:r>
        <w:rPr>
          <w:rFonts w:hint="cs"/>
          <w:spacing w:val="-4"/>
          <w:rtl/>
        </w:rPr>
        <w:t>, פ"ד מד (1) 239 8/1/1990)).</w:t>
      </w:r>
      <w:r>
        <w:rPr>
          <w:rtl/>
        </w:rPr>
        <w:tab/>
        <w:t xml:space="preserve"> </w:t>
      </w:r>
    </w:p>
    <w:p w:rsidR="00FA2997" w:rsidRDefault="00FA2997" w:rsidP="00FA2997">
      <w:pPr>
        <w:spacing w:line="360" w:lineRule="auto"/>
        <w:ind w:left="720" w:hanging="720"/>
        <w:jc w:val="both"/>
        <w:rPr>
          <w:rtl/>
        </w:rPr>
      </w:pPr>
    </w:p>
    <w:p w:rsidR="00FA2997" w:rsidRDefault="00FA2997" w:rsidP="00FA2997">
      <w:pPr>
        <w:spacing w:line="360" w:lineRule="auto"/>
        <w:ind w:left="713" w:hanging="578"/>
        <w:jc w:val="both"/>
        <w:rPr>
          <w:rFonts w:ascii="David" w:hAnsi="David"/>
          <w:rtl/>
        </w:rPr>
      </w:pPr>
      <w:r>
        <w:rPr>
          <w:rFonts w:ascii="David" w:hAnsi="David"/>
          <w:rtl/>
        </w:rPr>
        <w:t>13.</w:t>
      </w:r>
      <w:r>
        <w:rPr>
          <w:rFonts w:ascii="David" w:hAnsi="David"/>
          <w:rtl/>
        </w:rPr>
        <w:tab/>
        <w:t>קבלת הבקשה תקים למשיבה זכות מוצדקת לחקור את עורך המסמך, לבקש את התיק הקיים (ככל שכך) אצל חברת יוסי אברהמי על מנת לבדוק מי ומתי פנה לחברה לרישום הזכויות על פי המסמך? מה שכאמור יסרבל את ההליך ללא צורך בשל התנהלותו של המבקש. מבלי לגרוע באמור אף אמור להיגרם לה נזק ראייתי בשל חלוף הזמן.</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rtl/>
        </w:rPr>
      </w:pPr>
      <w:r>
        <w:rPr>
          <w:rFonts w:ascii="David" w:hAnsi="David"/>
          <w:rtl/>
        </w:rPr>
        <w:t>14.</w:t>
      </w:r>
      <w:r>
        <w:rPr>
          <w:rFonts w:ascii="David" w:hAnsi="David"/>
          <w:rtl/>
        </w:rPr>
        <w:tab/>
        <w:t xml:space="preserve">לכאורה, ניתן לרפא כל  בעיית פרוצדורה  על דרך של תשלום הוצאות. הגשת הבקשה על פי ניסוחה והעובדות המובאות בה הן בניגוד למציאות העובדתית שהייתה ידועה למבקש  ומכאן גם חומרתה. המבקש ידע או אמור היה לדעת (שכן הכיר את כתב התביעה) ולדעת שאין הלימה בין העובדות לבין טיעוניו בבקשתו שנתמכה בתצהירו. </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jc w:val="both"/>
        <w:rPr>
          <w:rFonts w:ascii="David" w:hAnsi="David"/>
          <w:rtl/>
        </w:rPr>
      </w:pPr>
      <w:r>
        <w:rPr>
          <w:rFonts w:ascii="David" w:hAnsi="David"/>
          <w:rtl/>
        </w:rPr>
        <w:t xml:space="preserve">אולי מטעם זה, טען בלאקוניות שהמסמך לא הוגש לתיק, חרף האמור בכתב התביעה, בשל חילופי עורכי דין תוך רמיזה לאחריותה של עו"ד סמון,  מה שהובהר לעיל שאינו תואם את המציאות ואינו יכול לשמש בסיס להגשת הבקשה ובוודאי כביס לקבלתה. </w:t>
      </w:r>
    </w:p>
    <w:p w:rsidR="00FA2997" w:rsidRDefault="00FA2997" w:rsidP="00FA2997">
      <w:pPr>
        <w:spacing w:line="360" w:lineRule="auto"/>
        <w:ind w:left="720" w:hanging="720"/>
        <w:jc w:val="both"/>
        <w:rPr>
          <w:rFonts w:ascii="David" w:hAnsi="David"/>
          <w:rtl/>
        </w:rPr>
      </w:pPr>
      <w:r>
        <w:rPr>
          <w:rFonts w:ascii="David" w:hAnsi="David"/>
          <w:rtl/>
        </w:rPr>
        <w:t>15.</w:t>
      </w:r>
      <w:r>
        <w:rPr>
          <w:rFonts w:ascii="David" w:hAnsi="David"/>
          <w:rtl/>
        </w:rPr>
        <w:tab/>
        <w:t>יוער שאיני שותף למחשבה שסדרי הדין הם אות מתה וניתן להכשיר כל התנהלות של צד על דרך של פנייה לליברליות המשפטית. "</w:t>
      </w:r>
      <w:r>
        <w:rPr>
          <w:rFonts w:ascii="David" w:hAnsi="David"/>
          <w:b/>
          <w:bCs/>
          <w:rtl/>
        </w:rPr>
        <w:t xml:space="preserve">מטבע הדברים ששופטים מקפידים על הצורה. השפיטה צריכה להתנהל בהליכים קבועים ומסודרים, ובהליכים שאינם תקינים, עלולה רמת השפיטה להיפגע. דברים אלה, אמורים לא רק לעניין ניסוח כתבי הטענות, אלא אולי גם בעיקר לעניין ההקפדה על דיני הראיות. </w:t>
      </w:r>
      <w:r>
        <w:rPr>
          <w:rFonts w:ascii="David" w:hAnsi="David"/>
          <w:rtl/>
        </w:rPr>
        <w:t>...</w:t>
      </w:r>
      <w:r>
        <w:rPr>
          <w:rFonts w:ascii="David" w:hAnsi="David"/>
          <w:b/>
          <w:bCs/>
          <w:rtl/>
        </w:rPr>
        <w:t xml:space="preserve"> הזיקה לפורמליות ועשיית הצדק שלובות זו בזו </w:t>
      </w:r>
      <w:r>
        <w:rPr>
          <w:rFonts w:ascii="David" w:hAnsi="David"/>
          <w:rtl/>
        </w:rPr>
        <w:t xml:space="preserve">... " (חיים כהן, </w:t>
      </w:r>
      <w:r>
        <w:rPr>
          <w:rFonts w:ascii="David" w:hAnsi="David"/>
          <w:u w:val="single"/>
          <w:rtl/>
        </w:rPr>
        <w:t>המשפט</w:t>
      </w:r>
      <w:r>
        <w:rPr>
          <w:rFonts w:ascii="David" w:hAnsi="David"/>
          <w:rtl/>
        </w:rPr>
        <w:t xml:space="preserve"> (1996), 466)).</w:t>
      </w:r>
    </w:p>
    <w:p w:rsidR="00FA2997" w:rsidRDefault="00FA2997" w:rsidP="00FA2997">
      <w:pPr>
        <w:spacing w:line="360" w:lineRule="auto"/>
        <w:ind w:left="720" w:hanging="720"/>
        <w:jc w:val="both"/>
        <w:rPr>
          <w:rFonts w:ascii="David" w:hAnsi="David"/>
          <w:rtl/>
        </w:rPr>
      </w:pPr>
    </w:p>
    <w:p w:rsidR="00FA2997" w:rsidRDefault="00FA2997" w:rsidP="00FA2997">
      <w:pPr>
        <w:pStyle w:val="Ruller4"/>
        <w:numPr>
          <w:ilvl w:val="0"/>
          <w:numId w:val="0"/>
        </w:numPr>
        <w:ind w:left="714" w:hanging="714"/>
        <w:rPr>
          <w:rFonts w:ascii="David" w:eastAsia="MS Mincho" w:hAnsi="David" w:cs="David"/>
          <w:b/>
          <w:bCs/>
          <w:spacing w:val="0"/>
          <w:szCs w:val="24"/>
        </w:rPr>
      </w:pPr>
      <w:r>
        <w:rPr>
          <w:rFonts w:ascii="David" w:eastAsia="MS Mincho" w:hAnsi="David" w:cs="David"/>
          <w:spacing w:val="0"/>
          <w:szCs w:val="24"/>
          <w:rtl/>
        </w:rPr>
        <w:t>16.</w:t>
      </w:r>
      <w:r>
        <w:rPr>
          <w:rFonts w:ascii="David" w:eastAsia="MS Mincho" w:hAnsi="David" w:cs="David"/>
          <w:spacing w:val="0"/>
          <w:szCs w:val="24"/>
          <w:rtl/>
        </w:rPr>
        <w:tab/>
        <w:t xml:space="preserve">בפרשת בוגנים קבע כבוד השופט </w:t>
      </w:r>
      <w:proofErr w:type="spellStart"/>
      <w:r>
        <w:rPr>
          <w:rFonts w:ascii="David" w:eastAsia="MS Mincho" w:hAnsi="David" w:cs="David"/>
          <w:spacing w:val="0"/>
          <w:szCs w:val="24"/>
          <w:rtl/>
        </w:rPr>
        <w:t>גרוסקופף</w:t>
      </w:r>
      <w:proofErr w:type="spellEnd"/>
      <w:r>
        <w:rPr>
          <w:rFonts w:ascii="David" w:eastAsia="MS Mincho" w:hAnsi="David" w:cs="David"/>
          <w:spacing w:val="0"/>
          <w:szCs w:val="24"/>
          <w:rtl/>
        </w:rPr>
        <w:t xml:space="preserve">  בזו הלשון "...</w:t>
      </w:r>
      <w:r>
        <w:rPr>
          <w:rFonts w:ascii="David" w:eastAsia="MS Mincho" w:hAnsi="David" w:cs="David"/>
          <w:b/>
          <w:bCs/>
          <w:spacing w:val="0"/>
          <w:szCs w:val="24"/>
          <w:rtl/>
        </w:rPr>
        <w:t>ככלל, הגשת ראיות לאחר הליך ההוכחות איננה רצויה ולא תעשה כדבר שבשגרה. תכליתו של כלל זה איננה פרוצדורלית גרידא, אלא נועדה להבטיח גם את זכויותיו של הצד השני, ולשמור על ניהולו התקין של ההליך</w:t>
      </w:r>
      <w:r>
        <w:rPr>
          <w:rFonts w:ascii="David" w:eastAsia="MS Mincho" w:hAnsi="David" w:cs="David"/>
          <w:spacing w:val="0"/>
          <w:szCs w:val="24"/>
          <w:rtl/>
        </w:rPr>
        <w:t>...</w:t>
      </w:r>
      <w:r>
        <w:rPr>
          <w:rFonts w:ascii="David" w:eastAsia="MS Mincho" w:hAnsi="David" w:cs="David"/>
          <w:b/>
          <w:bCs/>
          <w:spacing w:val="0"/>
          <w:szCs w:val="24"/>
          <w:rtl/>
        </w:rPr>
        <w:t xml:space="preserve"> בבואו להחליט האם להתיר הגשת ראיה מסוימת באיחור, על בית המשפט לשקול מספר שיקולים: אופי הראיה הנוספת; השלב אליו הגיע המשפט; האם הצד המבקש את הבאת הראיה הנוספת ידע או היה עליו לדעת על קיומה של הראיה מוקדם יותר, וכן תרומתה של הראיה לבירור האמת </w:t>
      </w:r>
      <w:r>
        <w:rPr>
          <w:rFonts w:ascii="David" w:eastAsia="MS Mincho" w:hAnsi="David" w:cs="David"/>
          <w:spacing w:val="0"/>
          <w:szCs w:val="24"/>
          <w:rtl/>
        </w:rPr>
        <w:t>...</w:t>
      </w:r>
      <w:r>
        <w:rPr>
          <w:rFonts w:ascii="David" w:eastAsia="MS Mincho" w:hAnsi="David" w:cs="David"/>
          <w:b/>
          <w:bCs/>
          <w:spacing w:val="0"/>
          <w:szCs w:val="24"/>
          <w:rtl/>
        </w:rPr>
        <w:t xml:space="preserve"> . ההחלטה האם להתיר הגשת ראיות נוספות, מצויה במסגרת הפררוגטיבה של הערכאה הדיונית." </w:t>
      </w:r>
      <w:r>
        <w:rPr>
          <w:rFonts w:ascii="David" w:eastAsia="MS Mincho" w:hAnsi="David" w:cs="David"/>
          <w:spacing w:val="0"/>
          <w:szCs w:val="24"/>
          <w:rtl/>
        </w:rPr>
        <w:t>(</w:t>
      </w:r>
      <w:r>
        <w:rPr>
          <w:rFonts w:ascii="David" w:eastAsia="MS Mincho" w:hAnsi="David" w:cs="David"/>
          <w:spacing w:val="0"/>
          <w:szCs w:val="24"/>
          <w:u w:val="single"/>
          <w:rtl/>
        </w:rPr>
        <w:t xml:space="preserve">רע"א 1048/19 </w:t>
      </w:r>
      <w:r>
        <w:rPr>
          <w:rFonts w:ascii="David" w:eastAsia="MS Mincho" w:hAnsi="David" w:cs="David"/>
          <w:b/>
          <w:bCs/>
          <w:spacing w:val="0"/>
          <w:szCs w:val="24"/>
          <w:rtl/>
        </w:rPr>
        <w:t xml:space="preserve">מזל בוגנים </w:t>
      </w:r>
      <w:r>
        <w:rPr>
          <w:rFonts w:ascii="David" w:eastAsia="MS Mincho" w:hAnsi="David" w:cs="David"/>
          <w:spacing w:val="0"/>
          <w:szCs w:val="24"/>
          <w:rtl/>
        </w:rPr>
        <w:t>נ'</w:t>
      </w:r>
      <w:r>
        <w:rPr>
          <w:rFonts w:ascii="David" w:eastAsia="MS Mincho" w:hAnsi="David" w:cs="David"/>
          <w:b/>
          <w:bCs/>
          <w:spacing w:val="0"/>
          <w:szCs w:val="24"/>
          <w:rtl/>
        </w:rPr>
        <w:t xml:space="preserve"> דוד בן יאיר</w:t>
      </w:r>
      <w:r>
        <w:rPr>
          <w:rFonts w:ascii="David" w:eastAsia="MS Mincho" w:hAnsi="David" w:cs="David"/>
          <w:spacing w:val="0"/>
          <w:szCs w:val="24"/>
          <w:rtl/>
        </w:rPr>
        <w:t xml:space="preserve"> (16/6/2019).</w:t>
      </w:r>
      <w:r>
        <w:rPr>
          <w:rFonts w:ascii="David" w:eastAsia="MS Mincho" w:hAnsi="David" w:cs="David"/>
          <w:b/>
          <w:bCs/>
          <w:spacing w:val="0"/>
          <w:szCs w:val="24"/>
          <w:rtl/>
        </w:rPr>
        <w:t xml:space="preserve"> </w:t>
      </w:r>
    </w:p>
    <w:p w:rsidR="00FA2997" w:rsidRDefault="00FA2997" w:rsidP="00FA2997">
      <w:pPr>
        <w:pStyle w:val="Ruller4"/>
        <w:numPr>
          <w:ilvl w:val="0"/>
          <w:numId w:val="0"/>
        </w:numPr>
        <w:ind w:left="714" w:hanging="714"/>
        <w:rPr>
          <w:rFonts w:ascii="David" w:eastAsia="MS Mincho" w:hAnsi="David" w:cs="David"/>
          <w:b/>
          <w:bCs/>
          <w:spacing w:val="0"/>
          <w:szCs w:val="24"/>
          <w:rtl/>
        </w:rPr>
      </w:pPr>
    </w:p>
    <w:p w:rsidR="00FA2997" w:rsidRDefault="00FA2997" w:rsidP="00FA2997">
      <w:pPr>
        <w:pStyle w:val="Ruller4"/>
        <w:numPr>
          <w:ilvl w:val="0"/>
          <w:numId w:val="0"/>
        </w:numPr>
        <w:ind w:left="714" w:hanging="714"/>
        <w:rPr>
          <w:rFonts w:ascii="David" w:eastAsia="MS Mincho" w:hAnsi="David" w:cs="David"/>
          <w:spacing w:val="0"/>
          <w:szCs w:val="24"/>
          <w:rtl/>
        </w:rPr>
      </w:pPr>
      <w:r>
        <w:rPr>
          <w:rFonts w:ascii="David" w:eastAsia="MS Mincho" w:hAnsi="David" w:cs="David"/>
          <w:b/>
          <w:bCs/>
          <w:spacing w:val="0"/>
          <w:szCs w:val="24"/>
          <w:rtl/>
        </w:rPr>
        <w:tab/>
      </w:r>
      <w:r>
        <w:rPr>
          <w:rFonts w:ascii="David" w:eastAsia="MS Mincho" w:hAnsi="David" w:cs="David"/>
          <w:spacing w:val="0"/>
          <w:szCs w:val="24"/>
          <w:rtl/>
        </w:rPr>
        <w:t>בין לבין נכנסו לתוקפן תקנות סדר הדין תשע"ט-2018 שהרציונל להן המקבל ביטויו בסעיפים 5-1 יש בהן על פניו כדי להטות הכף לדחיית בקשתו של המבקש.</w:t>
      </w:r>
    </w:p>
    <w:p w:rsidR="00FA2997" w:rsidRDefault="00FA2997" w:rsidP="00FA2997">
      <w:pPr>
        <w:spacing w:line="360" w:lineRule="auto"/>
        <w:jc w:val="both"/>
        <w:rPr>
          <w:rFonts w:ascii="David" w:eastAsia="MS Mincho" w:hAnsi="David"/>
          <w:b/>
          <w:bCs/>
          <w:rtl/>
        </w:rPr>
      </w:pPr>
    </w:p>
    <w:p w:rsidR="00FA2997" w:rsidRDefault="00FA2997" w:rsidP="00FA2997">
      <w:pPr>
        <w:spacing w:line="360" w:lineRule="auto"/>
        <w:ind w:left="714" w:hanging="714"/>
        <w:jc w:val="both"/>
        <w:rPr>
          <w:rFonts w:ascii="David" w:eastAsiaTheme="minorHAnsi" w:hAnsi="David"/>
          <w:rtl/>
        </w:rPr>
      </w:pPr>
      <w:r>
        <w:rPr>
          <w:rFonts w:ascii="David" w:hAnsi="David"/>
          <w:rtl/>
        </w:rPr>
        <w:tab/>
        <w:t xml:space="preserve">בזהירות הראויה ניתן לקבוע שלאור החלטתו של כבוד השופט גרוסקופף בעניין בוגנים הנ"ל לו הייתה בקשתו של המבקש מגיעה לפתחו היה רואה לדחותה. כל כך למה? משום שהפרמטרים עליהם עמד כבוד השופט גרוסקופף פועלים לרעתו של התובע: מדובר בראיה הנחשבת בעיני המבקש כראיה מהותית  שלגרסתו מניחה את התשתית הראייתית לכך שהוא בעל מחצית הזכויות בדירה. האם מסמך שכזה, ככל שהוא מעיד כלל על פרשנותו של המבקש את המסמך, נשכח ולא מוגש לתיק? </w:t>
      </w:r>
    </w:p>
    <w:p w:rsidR="00FA2997" w:rsidRDefault="00FA2997" w:rsidP="00FA2997">
      <w:pPr>
        <w:spacing w:line="360" w:lineRule="auto"/>
        <w:ind w:left="714" w:hanging="714"/>
        <w:jc w:val="both"/>
        <w:rPr>
          <w:rFonts w:ascii="David" w:eastAsiaTheme="minorHAnsi" w:hAnsi="David"/>
          <w:rtl/>
        </w:rPr>
      </w:pPr>
    </w:p>
    <w:p w:rsidR="00FA2997" w:rsidRDefault="00FA2997" w:rsidP="00FA2997">
      <w:pPr>
        <w:spacing w:line="360" w:lineRule="auto"/>
        <w:ind w:left="714" w:hanging="714"/>
        <w:jc w:val="both"/>
        <w:rPr>
          <w:rFonts w:ascii="David" w:hAnsi="David"/>
          <w:rtl/>
        </w:rPr>
      </w:pPr>
      <w:r>
        <w:rPr>
          <w:rFonts w:ascii="David" w:hAnsi="David"/>
          <w:rtl/>
        </w:rPr>
        <w:tab/>
        <w:t xml:space="preserve">אין חולק שהמסמך בידיעתו ובחזקתו  כשנתיים ימים. אין בבקשה כל הסבר מתי "נזכר" בקיומו של המסמך? מדוע רק עתה "נזכר" לבקש להגישו ולא עשה כן לפני קיום הדיון של שמיעת ההוכחות? שתיקתו המכוונת מקימה את החזקה שלא בכדי נקט בהתנהלות זו. </w:t>
      </w:r>
    </w:p>
    <w:p w:rsidR="00FA2997" w:rsidRDefault="00FA2997" w:rsidP="00FA2997">
      <w:pPr>
        <w:spacing w:line="360" w:lineRule="auto"/>
        <w:ind w:left="714" w:hanging="714"/>
        <w:jc w:val="both"/>
        <w:rPr>
          <w:rFonts w:ascii="David" w:hAnsi="David"/>
          <w:rtl/>
        </w:rPr>
      </w:pPr>
    </w:p>
    <w:p w:rsidR="00FA2997" w:rsidRDefault="00FA2997" w:rsidP="00FA2997">
      <w:pPr>
        <w:spacing w:line="360" w:lineRule="auto"/>
        <w:ind w:left="714" w:hanging="630"/>
        <w:jc w:val="both"/>
        <w:rPr>
          <w:rFonts w:ascii="David" w:hAnsi="David"/>
          <w:rtl/>
        </w:rPr>
      </w:pPr>
      <w:r>
        <w:rPr>
          <w:rFonts w:ascii="David" w:hAnsi="David"/>
          <w:rtl/>
        </w:rPr>
        <w:tab/>
        <w:t>גורם נוסף שעל בית המשפט לבחון על פי החלטתו של כבוד השופט גרוסקופף הוא תרומתה של הראיה לבירור האמת. מטרה זו עשויה להטות את המטוטלת לכיוון קבלת בקשתו של התובע. אלא שבמסמך לטעמי אין כדי להטות את הכף רק מעצם הגשתו. איני מקבל את הטענה ש"</w:t>
      </w:r>
      <w:r>
        <w:rPr>
          <w:rFonts w:ascii="David" w:hAnsi="David"/>
          <w:b/>
          <w:bCs/>
          <w:rtl/>
        </w:rPr>
        <w:t>למסמך הנ"ל חשיבות גדולה בתיק שבכותרת ואי צירופו לתיק יכול לגרום למבקש נזק בלתי הפיך</w:t>
      </w:r>
      <w:r>
        <w:rPr>
          <w:rFonts w:ascii="David" w:hAnsi="David"/>
          <w:rtl/>
        </w:rPr>
        <w:t xml:space="preserve">"  במיוחד לאור התהיות שהוא מעלה וההסתייגויות בו ולאור הכחשתה הגורפת של הנתבעת שהפניה לחברה נעשתה בידיעתה מה שמעצים את הקושי באי הצגתו במועד. </w:t>
      </w:r>
    </w:p>
    <w:p w:rsidR="00FA2997" w:rsidRDefault="00FA2997" w:rsidP="00FA2997">
      <w:pPr>
        <w:spacing w:line="360" w:lineRule="auto"/>
        <w:ind w:left="714" w:hanging="630"/>
        <w:jc w:val="both"/>
        <w:rPr>
          <w:rFonts w:ascii="David" w:hAnsi="David"/>
          <w:rtl/>
        </w:rPr>
      </w:pPr>
    </w:p>
    <w:p w:rsidR="00FA2997" w:rsidRDefault="00FA2997" w:rsidP="00FA2997">
      <w:pPr>
        <w:spacing w:line="360" w:lineRule="auto"/>
        <w:ind w:left="714" w:hanging="630"/>
        <w:jc w:val="both"/>
        <w:rPr>
          <w:rFonts w:ascii="David" w:hAnsi="David"/>
          <w:rtl/>
        </w:rPr>
      </w:pPr>
      <w:r>
        <w:rPr>
          <w:rFonts w:ascii="David" w:hAnsi="David"/>
          <w:rtl/>
        </w:rPr>
        <w:t>17.</w:t>
      </w:r>
      <w:r>
        <w:rPr>
          <w:rFonts w:ascii="David" w:hAnsi="David"/>
          <w:rtl/>
        </w:rPr>
        <w:tab/>
        <w:t>בסעיף 6 לבקשה טען המבקש שהמסמך הוצג "...</w:t>
      </w:r>
      <w:r>
        <w:rPr>
          <w:rFonts w:ascii="David" w:hAnsi="David"/>
          <w:b/>
          <w:bCs/>
          <w:rtl/>
        </w:rPr>
        <w:t>לעיני המשיבה וב"כ ולעיני בית המשפט הנכבד וניתן למשיבה הזכות להגיב על כך</w:t>
      </w:r>
      <w:r>
        <w:rPr>
          <w:rFonts w:ascii="David" w:hAnsi="David"/>
          <w:rtl/>
        </w:rPr>
        <w:t xml:space="preserve">". האם זו הדרך לבסס עילה להגיש מסמך לאחר סיום פרשת ההוכחות? האם הצגת מסמך לראשונה לאחר שנתיים  בחקירה נגדית היא המקנה תוקף להגשת בקשה? (כזכור בכתב התביעה התייחס המבקש למסמך אחר) מושכלות יסוד שעל בעלי הדין  לנהל ההליך בקלפים גלויים ולא להפתיע בדיון ככלל ובבית משפט לענייני משפחה בפרט. חיזוק לכך עולה גם בפרק המבוא של תקנות סדר הדין האזרחי תשע"ט-2018 שהוזכרו לעיל.   </w:t>
      </w:r>
    </w:p>
    <w:p w:rsidR="00FA2997" w:rsidRDefault="00FA2997" w:rsidP="00FA2997">
      <w:pPr>
        <w:spacing w:line="360" w:lineRule="auto"/>
        <w:ind w:left="714" w:hanging="630"/>
        <w:jc w:val="both"/>
        <w:rPr>
          <w:rFonts w:ascii="David" w:hAnsi="David"/>
          <w:rtl/>
        </w:rPr>
      </w:pPr>
    </w:p>
    <w:p w:rsidR="00FA2997" w:rsidRDefault="00FA2997" w:rsidP="00FA2997">
      <w:pPr>
        <w:spacing w:line="360" w:lineRule="auto"/>
        <w:ind w:left="714" w:hanging="630"/>
        <w:jc w:val="both"/>
        <w:rPr>
          <w:rFonts w:ascii="David" w:hAnsi="David"/>
          <w:rtl/>
        </w:rPr>
      </w:pPr>
      <w:r>
        <w:rPr>
          <w:rFonts w:ascii="David" w:hAnsi="David"/>
          <w:rtl/>
        </w:rPr>
        <w:tab/>
        <w:t xml:space="preserve">מבלי לגרוע בדחיית הטענה שדי בהצגת המסמך ב בחקירה נגדית כדי להכשירו, יאמר ביחס לטענה זו שהצגת המסמך לנתבעת בדיון כורתת את הענף עליו יושב המבקש בבקשתו. ברי שהכנת חקירתה הנגדית של המשיבה לא נעשתה בבוקר הדיון ובוודאי שההתייחסות למסמך בחקירה גם היא לא נעשתה בבוקר הדיון. אם כך מה מנע מהמבקש ש"גילה" את המסמך עובר ליום הדיון להגיש בקשה בעניין המסמך "שהתגלה" לבית המשפט ולצד שכנגד? </w:t>
      </w:r>
    </w:p>
    <w:p w:rsidR="00FA2997" w:rsidRDefault="00FA2997" w:rsidP="00FA2997">
      <w:pPr>
        <w:spacing w:line="360" w:lineRule="auto"/>
        <w:ind w:left="714"/>
        <w:jc w:val="both"/>
        <w:rPr>
          <w:rFonts w:ascii="David" w:hAnsi="David"/>
          <w:rtl/>
        </w:rPr>
      </w:pPr>
      <w:r>
        <w:rPr>
          <w:rFonts w:ascii="David" w:hAnsi="David"/>
          <w:rtl/>
        </w:rPr>
        <w:t xml:space="preserve">המסקנה המתבקשת היא שמדובר בטקטיקה משפטית שנועדה להפתיע את המשיבה ולכפות הגשת המסמך לתיק.  שיטה זו של הפתעה מנוגדת לכללים של ניהול הליך משפטי, מנוגדת לכל ההלכות בעניין ומקל וחומר, כאמור, בבית משפט לענייני משפחה בו חובת הגילוי רחבה במיוחד ועולה כדי חוסר תום לב. </w:t>
      </w:r>
    </w:p>
    <w:p w:rsidR="00FA2997" w:rsidRDefault="00FA2997" w:rsidP="00FA2997">
      <w:pPr>
        <w:spacing w:line="360" w:lineRule="auto"/>
        <w:ind w:left="720" w:hanging="720"/>
        <w:jc w:val="both"/>
        <w:rPr>
          <w:rFonts w:ascii="David" w:hAnsi="David"/>
          <w:rtl/>
        </w:rPr>
      </w:pPr>
      <w:r>
        <w:rPr>
          <w:rFonts w:ascii="David" w:hAnsi="David"/>
          <w:rtl/>
        </w:rPr>
        <w:lastRenderedPageBreak/>
        <w:tab/>
        <w:t xml:space="preserve"> </w:t>
      </w:r>
    </w:p>
    <w:p w:rsidR="00FA2997" w:rsidRPr="00E02BF4" w:rsidRDefault="00FA2997" w:rsidP="00FA2997">
      <w:pPr>
        <w:spacing w:line="360" w:lineRule="auto"/>
        <w:ind w:left="720" w:hanging="720"/>
        <w:jc w:val="both"/>
        <w:rPr>
          <w:rFonts w:asciiTheme="minorHAnsi" w:hAnsiTheme="minorHAnsi"/>
          <w:rtl/>
        </w:rPr>
      </w:pPr>
      <w:r w:rsidRPr="00E02BF4">
        <w:rPr>
          <w:rtl/>
        </w:rPr>
        <w:tab/>
        <w:t xml:space="preserve">קולמוסים רבים נכתבו על חובת תום הלב בשיטתנו המשפטית.  היטיב לתאר את חשיבות תום הלב כבוד השופט רובינשטיין שקבע </w:t>
      </w:r>
      <w:r w:rsidRPr="00E02BF4">
        <w:rPr>
          <w:rFonts w:cs="Miriam"/>
          <w:rtl/>
        </w:rPr>
        <w:t>"</w:t>
      </w:r>
      <w:r w:rsidRPr="00E02BF4">
        <w:rPr>
          <w:b/>
          <w:bCs/>
          <w:rtl/>
        </w:rPr>
        <w:t xml:space="preserve">בעיניי, בצד כל אלה יש ביסוד הדברים ציפייה להגינות ביחסים בין בני אדם בכלל-נגזרת של תום לב החולש על המשפט הפרטי </w:t>
      </w:r>
      <w:r w:rsidRPr="00E02BF4">
        <w:rPr>
          <w:rtl/>
        </w:rPr>
        <w:t>...</w:t>
      </w:r>
      <w:r w:rsidRPr="00E02BF4">
        <w:rPr>
          <w:b/>
          <w:bCs/>
          <w:rtl/>
        </w:rPr>
        <w:t xml:space="preserve"> בבחינת "אדם לאדם-אדם" </w:t>
      </w:r>
      <w:r w:rsidRPr="00E02BF4">
        <w:rPr>
          <w:rtl/>
        </w:rPr>
        <w:t>...</w:t>
      </w:r>
      <w:r w:rsidRPr="00E02BF4">
        <w:rPr>
          <w:b/>
          <w:bCs/>
          <w:rtl/>
        </w:rPr>
        <w:t>זו גם תמציתו הערכית של הכלל "ועשיית הישר והטוב" (דברים ו, יח) החופה ממעל באתוס מורשתנו".</w:t>
      </w:r>
      <w:r w:rsidRPr="00E02BF4">
        <w:rPr>
          <w:rtl/>
        </w:rPr>
        <w:t xml:space="preserve"> (</w:t>
      </w:r>
      <w:hyperlink r:id="rId7" w:history="1">
        <w:r w:rsidRPr="00FA2997">
          <w:rPr>
            <w:rStyle w:val="Hyperlink"/>
            <w:rFonts w:ascii="David" w:hAnsi="David"/>
            <w:color w:val="auto"/>
            <w:rtl/>
          </w:rPr>
          <w:t xml:space="preserve">בע"מ 5939/04 </w:t>
        </w:r>
        <w:r w:rsidRPr="00FA2997">
          <w:rPr>
            <w:rStyle w:val="Hyperlink"/>
            <w:rFonts w:ascii="David" w:hAnsi="David"/>
            <w:b/>
            <w:bCs/>
            <w:color w:val="auto"/>
            <w:rtl/>
          </w:rPr>
          <w:t xml:space="preserve">פלוני </w:t>
        </w:r>
        <w:r w:rsidRPr="00FA2997">
          <w:rPr>
            <w:rStyle w:val="Hyperlink"/>
            <w:rFonts w:ascii="David" w:hAnsi="David"/>
            <w:color w:val="auto"/>
            <w:rtl/>
          </w:rPr>
          <w:t xml:space="preserve">נ' </w:t>
        </w:r>
        <w:r w:rsidRPr="00FA2997">
          <w:rPr>
            <w:rStyle w:val="Hyperlink"/>
            <w:rFonts w:ascii="David" w:hAnsi="David"/>
            <w:b/>
            <w:bCs/>
            <w:color w:val="auto"/>
            <w:rtl/>
          </w:rPr>
          <w:t xml:space="preserve">פלונית </w:t>
        </w:r>
        <w:r w:rsidRPr="00FA2997">
          <w:rPr>
            <w:rStyle w:val="Hyperlink"/>
            <w:rFonts w:ascii="David" w:hAnsi="David"/>
            <w:color w:val="auto"/>
            <w:rtl/>
          </w:rPr>
          <w:t>פ"ד נט</w:t>
        </w:r>
      </w:hyperlink>
      <w:r w:rsidRPr="00FA2997">
        <w:rPr>
          <w:rFonts w:ascii="David" w:hAnsi="David"/>
          <w:rtl/>
        </w:rPr>
        <w:t>(</w:t>
      </w:r>
      <w:r w:rsidRPr="00E02BF4">
        <w:rPr>
          <w:rFonts w:ascii="David" w:hAnsi="David"/>
          <w:rtl/>
        </w:rPr>
        <w:t>1</w:t>
      </w:r>
      <w:r w:rsidRPr="00E02BF4">
        <w:rPr>
          <w:rtl/>
        </w:rPr>
        <w:t>), 665 (08/09/2004) ס' 7 לפסק הדין).</w:t>
      </w:r>
    </w:p>
    <w:p w:rsidR="00FA2997" w:rsidRPr="00E02BF4" w:rsidRDefault="00FA2997" w:rsidP="00FA2997">
      <w:pPr>
        <w:spacing w:line="360" w:lineRule="auto"/>
        <w:ind w:left="720" w:hanging="720"/>
        <w:jc w:val="both"/>
        <w:rPr>
          <w:rFonts w:asciiTheme="minorHAnsi" w:hAnsiTheme="minorHAnsi"/>
          <w:rtl/>
        </w:rPr>
      </w:pPr>
    </w:p>
    <w:p w:rsidR="00FA2997" w:rsidRDefault="00FA2997" w:rsidP="00FA2997">
      <w:pPr>
        <w:spacing w:after="200" w:line="360" w:lineRule="auto"/>
        <w:ind w:left="713" w:firstLine="9"/>
        <w:jc w:val="both"/>
        <w:rPr>
          <w:rtl/>
        </w:rPr>
      </w:pPr>
      <w:r>
        <w:rPr>
          <w:rtl/>
        </w:rPr>
        <w:t xml:space="preserve">תקצר היריעה מלתאר הדברים אשר נכתבו ונפסקו בזכות תום הלב כחלק מהשיטה המשפטית שלנו. אולם, בענייני משפחה אני סבור, ואיני היחיד הסובר כך, שתום הלב הנדרש מתעצם </w:t>
      </w:r>
      <w:r>
        <w:rPr>
          <w:rtl/>
        </w:rPr>
        <w:tab/>
        <w:t xml:space="preserve">והופך אבן בוחן מהותית להתנהלות הצדדים האחד כלפי השני. תום הלב הנדרש בענייני משפחה כולל </w:t>
      </w:r>
      <w:r>
        <w:rPr>
          <w:rFonts w:ascii="David" w:hAnsi="David"/>
          <w:rtl/>
        </w:rPr>
        <w:t xml:space="preserve"> </w:t>
      </w:r>
      <w:r>
        <w:rPr>
          <w:rtl/>
        </w:rPr>
        <w:t>גם הימנעות מ</w:t>
      </w:r>
      <w:r>
        <w:rPr>
          <w:b/>
          <w:bCs/>
          <w:rtl/>
        </w:rPr>
        <w:t>"...תכסיסנות משפטית וגישה סחטנית אגב נתינת וקבלת זכויות משפטיות"</w:t>
      </w:r>
      <w:r>
        <w:rPr>
          <w:rtl/>
        </w:rPr>
        <w:t xml:space="preserve"> </w:t>
      </w:r>
      <w:r w:rsidRPr="00E02BF4">
        <w:rPr>
          <w:rFonts w:ascii="David" w:hAnsi="David"/>
          <w:rtl/>
        </w:rPr>
        <w:t>(</w:t>
      </w:r>
      <w:hyperlink r:id="rId8" w:history="1">
        <w:r w:rsidRPr="00FA2997">
          <w:rPr>
            <w:rStyle w:val="Hyperlink"/>
            <w:rFonts w:ascii="David" w:hAnsi="David"/>
            <w:color w:val="auto"/>
            <w:rtl/>
          </w:rPr>
          <w:t>תמ"ש (ת"א) 23849-08-10</w:t>
        </w:r>
      </w:hyperlink>
      <w:r w:rsidRPr="00FA2997">
        <w:rPr>
          <w:rFonts w:ascii="David" w:hAnsi="David"/>
          <w:rtl/>
        </w:rPr>
        <w:t xml:space="preserve"> </w:t>
      </w:r>
      <w:r w:rsidRPr="00FA2997">
        <w:rPr>
          <w:rFonts w:ascii="David" w:hAnsi="David"/>
          <w:b/>
          <w:bCs/>
          <w:rtl/>
        </w:rPr>
        <w:t>י.ק</w:t>
      </w:r>
      <w:r>
        <w:rPr>
          <w:b/>
          <w:bCs/>
          <w:rtl/>
        </w:rPr>
        <w:t xml:space="preserve"> </w:t>
      </w:r>
      <w:r>
        <w:rPr>
          <w:rtl/>
        </w:rPr>
        <w:t>נ'</w:t>
      </w:r>
      <w:r>
        <w:rPr>
          <w:b/>
          <w:bCs/>
          <w:rtl/>
        </w:rPr>
        <w:t xml:space="preserve"> ב.ש.ק</w:t>
      </w:r>
      <w:r>
        <w:rPr>
          <w:rFonts w:cs="Miriam"/>
          <w:rtl/>
        </w:rPr>
        <w:t xml:space="preserve"> </w:t>
      </w:r>
      <w:r>
        <w:rPr>
          <w:rtl/>
        </w:rPr>
        <w:t xml:space="preserve">(09/10/2011)). </w:t>
      </w:r>
    </w:p>
    <w:p w:rsidR="00FA2997" w:rsidRDefault="00FA2997" w:rsidP="00FA2997">
      <w:pPr>
        <w:spacing w:after="200" w:line="360" w:lineRule="auto"/>
        <w:ind w:left="713" w:firstLine="9"/>
        <w:jc w:val="both"/>
        <w:rPr>
          <w:rtl/>
        </w:rPr>
      </w:pPr>
      <w:r>
        <w:rPr>
          <w:rtl/>
        </w:rPr>
        <w:t>הוא הדין בענייננו.</w:t>
      </w:r>
    </w:p>
    <w:p w:rsidR="00FA2997" w:rsidRDefault="00FA2997" w:rsidP="00FA2997">
      <w:pPr>
        <w:spacing w:line="360" w:lineRule="auto"/>
        <w:ind w:left="713" w:hanging="578"/>
        <w:jc w:val="both"/>
        <w:rPr>
          <w:rFonts w:ascii="David" w:hAnsi="David"/>
          <w:rtl/>
        </w:rPr>
      </w:pPr>
      <w:r>
        <w:rPr>
          <w:rFonts w:ascii="David" w:hAnsi="David"/>
          <w:rtl/>
        </w:rPr>
        <w:t>18.</w:t>
      </w:r>
      <w:r>
        <w:rPr>
          <w:rFonts w:ascii="David" w:hAnsi="David"/>
          <w:rtl/>
        </w:rPr>
        <w:tab/>
        <w:t xml:space="preserve">המבקש טען שהעניק למשיבה "זכות" לעיין במסמך ולהתייחס אליו. מבלי להכביר מילים על מופרכות הטענה בלשון המעטה, המשיבה שללה כל ידיעה או הכרה של המסמך ויותר מכך.  המבקש העלה את עניין המסמך בעמ' 84 לפרוטוקול. מצאתי להביא חלק ממה שנאמר בפרוטוקול: </w:t>
      </w:r>
    </w:p>
    <w:p w:rsidR="00FA2997" w:rsidRDefault="00FA2997" w:rsidP="00FA2997">
      <w:pPr>
        <w:spacing w:line="360" w:lineRule="auto"/>
        <w:ind w:left="713" w:hanging="578"/>
        <w:jc w:val="both"/>
        <w:rPr>
          <w:rFonts w:ascii="David" w:hAnsi="David"/>
          <w:rtl/>
        </w:rPr>
      </w:pPr>
    </w:p>
    <w:p w:rsidR="00FA2997" w:rsidRDefault="00FA2997" w:rsidP="00FA2997">
      <w:pPr>
        <w:spacing w:line="276" w:lineRule="auto"/>
        <w:ind w:left="2000" w:hanging="1287"/>
        <w:rPr>
          <w:rFonts w:ascii="David" w:hAnsi="David"/>
          <w:b/>
          <w:bCs/>
          <w:rtl/>
        </w:rPr>
      </w:pPr>
      <w:r>
        <w:rPr>
          <w:rFonts w:ascii="David" w:hAnsi="David"/>
          <w:rtl/>
        </w:rPr>
        <w:t>"</w:t>
      </w:r>
      <w:r>
        <w:rPr>
          <w:rFonts w:ascii="David" w:hAnsi="David"/>
          <w:b/>
          <w:bCs/>
          <w:rtl/>
        </w:rPr>
        <w:t xml:space="preserve">ש: </w:t>
      </w:r>
      <w:r>
        <w:rPr>
          <w:rFonts w:ascii="David" w:hAnsi="David"/>
          <w:b/>
          <w:bCs/>
          <w:rtl/>
        </w:rPr>
        <w:tab/>
        <w:t xml:space="preserve">עכשיו, נכון שהדירה ברחוב </w:t>
      </w:r>
      <w:r>
        <w:rPr>
          <w:rFonts w:ascii="David" w:hAnsi="David" w:hint="cs"/>
          <w:b/>
          <w:bCs/>
          <w:rtl/>
        </w:rPr>
        <w:t>---</w:t>
      </w:r>
      <w:r>
        <w:rPr>
          <w:rFonts w:ascii="David" w:hAnsi="David"/>
          <w:b/>
          <w:bCs/>
          <w:rtl/>
        </w:rPr>
        <w:t>, כמו שהוצג לך, רשום בחברה משכנת על שם שניכם, נכון או לא?</w:t>
      </w:r>
    </w:p>
    <w:p w:rsidR="00FA2997" w:rsidRDefault="00FA2997" w:rsidP="00FA2997">
      <w:pPr>
        <w:spacing w:line="276" w:lineRule="auto"/>
        <w:ind w:left="2000" w:hanging="1287"/>
        <w:rPr>
          <w:rFonts w:ascii="David" w:hAnsi="David"/>
          <w:b/>
          <w:bCs/>
        </w:rPr>
      </w:pPr>
      <w:r>
        <w:rPr>
          <w:rFonts w:ascii="David" w:hAnsi="David"/>
          <w:b/>
          <w:bCs/>
          <w:rtl/>
        </w:rPr>
        <w:t xml:space="preserve">ת: </w:t>
      </w:r>
      <w:r>
        <w:rPr>
          <w:rFonts w:ascii="David" w:hAnsi="David"/>
          <w:b/>
          <w:bCs/>
          <w:rtl/>
        </w:rPr>
        <w:tab/>
        <w:t>אני לא אישרתי דבר כזה, אם כן, הוא עשה משהו מאחורי הגב שלי, ...</w:t>
      </w:r>
    </w:p>
    <w:p w:rsidR="00FA2997" w:rsidRDefault="00FA2997" w:rsidP="00FA2997">
      <w:pPr>
        <w:spacing w:line="276" w:lineRule="auto"/>
        <w:ind w:left="2000" w:hanging="2000"/>
        <w:rPr>
          <w:rFonts w:ascii="David" w:hAnsi="David"/>
          <w:b/>
          <w:bCs/>
        </w:rPr>
      </w:pPr>
      <w:r>
        <w:rPr>
          <w:rFonts w:ascii="David" w:hAnsi="David"/>
          <w:b/>
          <w:bCs/>
          <w:rtl/>
        </w:rPr>
        <w:tab/>
        <w:t>אדוני, אני לא אישרתי, ואני אומרת גם לך, שמרגע שהוא הגיש לי את התביעה אני לא אישרתי שום רישום בשום מקום. אם הוא עשה דברים מאחורי הגב שלי, אדוני, אני אשמח לראות חתימות. ייתכן והוא זייף. כי אני בפעם האחרונה שדיברתי עם נציגים, אמרו לי שאין רישום זכויות, שחסר ייפוי כוח נוטריוני, ואני הודעתי מראש שאני לא מתכוונת לחתום עליו.</w:t>
      </w:r>
    </w:p>
    <w:p w:rsidR="00FA2997" w:rsidRDefault="00FA2997" w:rsidP="00FA2997">
      <w:pPr>
        <w:spacing w:line="276" w:lineRule="auto"/>
        <w:ind w:left="2000" w:hanging="1280"/>
        <w:rPr>
          <w:rFonts w:ascii="David" w:hAnsi="David"/>
          <w:b/>
          <w:bCs/>
        </w:rPr>
      </w:pPr>
      <w:r>
        <w:rPr>
          <w:rFonts w:ascii="David" w:hAnsi="David"/>
          <w:b/>
          <w:bCs/>
          <w:rtl/>
        </w:rPr>
        <w:t xml:space="preserve">ש: </w:t>
      </w:r>
      <w:r>
        <w:rPr>
          <w:rFonts w:ascii="David" w:hAnsi="David"/>
          <w:b/>
          <w:bCs/>
          <w:rtl/>
        </w:rPr>
        <w:tab/>
        <w:t>זה שערבבתם את הזה, זה נורא.</w:t>
      </w:r>
    </w:p>
    <w:p w:rsidR="00FA2997" w:rsidRDefault="00FA2997" w:rsidP="00FA2997">
      <w:pPr>
        <w:spacing w:line="276" w:lineRule="auto"/>
        <w:ind w:left="2000" w:hanging="1280"/>
        <w:rPr>
          <w:rFonts w:ascii="David" w:hAnsi="David"/>
          <w:b/>
          <w:bCs/>
        </w:rPr>
      </w:pPr>
      <w:r>
        <w:rPr>
          <w:rFonts w:ascii="David" w:hAnsi="David"/>
          <w:b/>
          <w:bCs/>
          <w:rtl/>
        </w:rPr>
        <w:t xml:space="preserve">התובע: </w:t>
      </w:r>
      <w:r>
        <w:rPr>
          <w:rFonts w:ascii="David" w:hAnsi="David"/>
          <w:b/>
          <w:bCs/>
          <w:rtl/>
        </w:rPr>
        <w:tab/>
        <w:t xml:space="preserve">זה </w:t>
      </w:r>
      <w:r>
        <w:rPr>
          <w:rFonts w:ascii="David" w:hAnsi="David" w:hint="cs"/>
          <w:b/>
          <w:bCs/>
          <w:rtl/>
        </w:rPr>
        <w:t>----</w:t>
      </w:r>
      <w:r>
        <w:rPr>
          <w:rFonts w:ascii="David" w:hAnsi="David"/>
          <w:b/>
          <w:bCs/>
          <w:rtl/>
        </w:rPr>
        <w:t>, ...</w:t>
      </w:r>
    </w:p>
    <w:p w:rsidR="00FA2997" w:rsidRDefault="00FA2997" w:rsidP="00FA2997">
      <w:pPr>
        <w:spacing w:line="276" w:lineRule="auto"/>
        <w:ind w:left="2000" w:hanging="1280"/>
        <w:rPr>
          <w:rFonts w:ascii="David" w:hAnsi="David"/>
          <w:b/>
          <w:bCs/>
        </w:rPr>
      </w:pPr>
      <w:r>
        <w:rPr>
          <w:rFonts w:ascii="David" w:hAnsi="David"/>
          <w:b/>
          <w:bCs/>
          <w:rtl/>
        </w:rPr>
        <w:t xml:space="preserve">ש: </w:t>
      </w:r>
      <w:r>
        <w:rPr>
          <w:rFonts w:ascii="David" w:hAnsi="David"/>
          <w:b/>
          <w:bCs/>
          <w:rtl/>
        </w:rPr>
        <w:tab/>
        <w:t>יש כאן אישור זכויות. תאשרי לי, את רואה, אישור זכויות בחברה משכנת, אישור זכויות במקרקעין, שהן רשומות על שם שניכם. ק</w:t>
      </w:r>
      <w:r>
        <w:rPr>
          <w:rFonts w:ascii="David" w:hAnsi="David" w:hint="cs"/>
          <w:b/>
          <w:bCs/>
          <w:rtl/>
        </w:rPr>
        <w:t xml:space="preserve">. </w:t>
      </w:r>
      <w:r>
        <w:rPr>
          <w:rFonts w:ascii="David" w:hAnsi="David"/>
          <w:b/>
          <w:bCs/>
          <w:rtl/>
        </w:rPr>
        <w:t>א</w:t>
      </w:r>
      <w:r>
        <w:rPr>
          <w:rFonts w:ascii="David" w:hAnsi="David" w:hint="cs"/>
          <w:b/>
          <w:bCs/>
          <w:rtl/>
        </w:rPr>
        <w:t>.</w:t>
      </w:r>
      <w:r>
        <w:rPr>
          <w:rFonts w:ascii="David" w:hAnsi="David"/>
          <w:b/>
          <w:bCs/>
          <w:rtl/>
        </w:rPr>
        <w:t xml:space="preserve"> וק</w:t>
      </w:r>
      <w:r>
        <w:rPr>
          <w:rFonts w:ascii="David" w:hAnsi="David" w:hint="cs"/>
          <w:b/>
          <w:bCs/>
          <w:rtl/>
        </w:rPr>
        <w:t>.</w:t>
      </w:r>
      <w:r>
        <w:rPr>
          <w:rFonts w:ascii="David" w:hAnsi="David"/>
          <w:b/>
          <w:bCs/>
          <w:rtl/>
        </w:rPr>
        <w:t xml:space="preserve"> א</w:t>
      </w:r>
      <w:r>
        <w:rPr>
          <w:rFonts w:ascii="David" w:hAnsi="David" w:hint="cs"/>
          <w:b/>
          <w:bCs/>
          <w:rtl/>
        </w:rPr>
        <w:t>.</w:t>
      </w:r>
      <w:r>
        <w:rPr>
          <w:rFonts w:ascii="David" w:hAnsi="David"/>
          <w:b/>
          <w:bCs/>
          <w:rtl/>
        </w:rPr>
        <w:t>ק</w:t>
      </w:r>
      <w:r>
        <w:rPr>
          <w:rFonts w:ascii="David" w:hAnsi="David" w:hint="cs"/>
          <w:b/>
          <w:bCs/>
          <w:rtl/>
        </w:rPr>
        <w:t>.</w:t>
      </w:r>
      <w:r>
        <w:rPr>
          <w:rFonts w:ascii="David" w:hAnsi="David"/>
          <w:b/>
          <w:bCs/>
          <w:rtl/>
        </w:rPr>
        <w:t>,</w:t>
      </w:r>
    </w:p>
    <w:p w:rsidR="00FA2997" w:rsidRDefault="00FA2997" w:rsidP="00FA2997">
      <w:pPr>
        <w:spacing w:line="276" w:lineRule="auto"/>
        <w:ind w:left="2000" w:hanging="1280"/>
        <w:rPr>
          <w:rFonts w:ascii="David" w:hAnsi="David"/>
          <w:b/>
          <w:bCs/>
        </w:rPr>
      </w:pPr>
      <w:r>
        <w:rPr>
          <w:rFonts w:ascii="David" w:hAnsi="David"/>
          <w:b/>
          <w:bCs/>
          <w:rtl/>
        </w:rPr>
        <w:t xml:space="preserve">ת: </w:t>
      </w:r>
      <w:r>
        <w:rPr>
          <w:rFonts w:ascii="David" w:hAnsi="David"/>
          <w:b/>
          <w:bCs/>
          <w:rtl/>
        </w:rPr>
        <w:tab/>
        <w:t>כן.</w:t>
      </w:r>
    </w:p>
    <w:p w:rsidR="00FA2997" w:rsidRDefault="00FA2997" w:rsidP="00FA2997">
      <w:pPr>
        <w:spacing w:line="276" w:lineRule="auto"/>
        <w:ind w:left="2000" w:hanging="1280"/>
        <w:rPr>
          <w:rFonts w:ascii="David" w:hAnsi="David"/>
          <w:b/>
          <w:bCs/>
        </w:rPr>
      </w:pPr>
      <w:r>
        <w:rPr>
          <w:rFonts w:ascii="David" w:hAnsi="David"/>
          <w:b/>
          <w:bCs/>
          <w:rtl/>
        </w:rPr>
        <w:t xml:space="preserve">ש: </w:t>
      </w:r>
      <w:r>
        <w:rPr>
          <w:rFonts w:ascii="David" w:hAnsi="David"/>
          <w:b/>
          <w:bCs/>
          <w:rtl/>
        </w:rPr>
        <w:tab/>
        <w:t>נכון או לא?</w:t>
      </w:r>
    </w:p>
    <w:p w:rsidR="00FA2997" w:rsidRDefault="00FA2997" w:rsidP="00FA2997">
      <w:pPr>
        <w:spacing w:line="276" w:lineRule="auto"/>
        <w:ind w:left="2000" w:hanging="1280"/>
        <w:rPr>
          <w:rFonts w:ascii="David" w:hAnsi="David"/>
          <w:b/>
          <w:bCs/>
        </w:rPr>
      </w:pPr>
      <w:r>
        <w:rPr>
          <w:rFonts w:ascii="David" w:hAnsi="David"/>
          <w:b/>
          <w:bCs/>
          <w:rtl/>
        </w:rPr>
        <w:t xml:space="preserve">ת: </w:t>
      </w:r>
      <w:r>
        <w:rPr>
          <w:rFonts w:ascii="David" w:hAnsi="David"/>
          <w:b/>
          <w:bCs/>
          <w:rtl/>
        </w:rPr>
        <w:tab/>
        <w:t>זה מה שאני רואה מול עיניי, כן.</w:t>
      </w:r>
    </w:p>
    <w:p w:rsidR="00FA2997" w:rsidRDefault="00FA2997" w:rsidP="00FA2997">
      <w:pPr>
        <w:spacing w:line="276" w:lineRule="auto"/>
        <w:ind w:left="2000" w:hanging="1280"/>
        <w:rPr>
          <w:rFonts w:ascii="David" w:hAnsi="David"/>
          <w:b/>
          <w:bCs/>
        </w:rPr>
      </w:pPr>
      <w:r>
        <w:rPr>
          <w:rFonts w:ascii="David" w:hAnsi="David"/>
          <w:b/>
          <w:bCs/>
          <w:rtl/>
        </w:rPr>
        <w:t xml:space="preserve">ש: </w:t>
      </w:r>
      <w:r>
        <w:rPr>
          <w:rFonts w:ascii="David" w:hAnsi="David"/>
          <w:b/>
          <w:bCs/>
          <w:rtl/>
        </w:rPr>
        <w:tab/>
        <w:t>יופי, את רואה את זה. ואני גם אראה לך שנרשמה הערת אזהרה על שם שניכם, בבקשה. את רואה?</w:t>
      </w:r>
    </w:p>
    <w:p w:rsidR="00FA2997" w:rsidRDefault="00FA2997" w:rsidP="00FA2997">
      <w:pPr>
        <w:spacing w:line="276" w:lineRule="auto"/>
        <w:ind w:left="2000" w:hanging="1280"/>
        <w:rPr>
          <w:rFonts w:ascii="David" w:hAnsi="David"/>
          <w:b/>
          <w:bCs/>
        </w:rPr>
      </w:pPr>
      <w:r>
        <w:rPr>
          <w:rFonts w:ascii="David" w:hAnsi="David"/>
          <w:b/>
          <w:bCs/>
          <w:rtl/>
        </w:rPr>
        <w:t xml:space="preserve">ת: </w:t>
      </w:r>
      <w:r>
        <w:rPr>
          <w:rFonts w:ascii="David" w:hAnsi="David"/>
          <w:b/>
          <w:bCs/>
          <w:rtl/>
        </w:rPr>
        <w:tab/>
        <w:t>אני לא מכירה, אם זה הערת, אני, אני לא מכירה את, אני לא אגיד לך משהו שאני לא, אני לא מכירה את המסמך הזה.</w:t>
      </w:r>
    </w:p>
    <w:p w:rsidR="00FA2997" w:rsidRDefault="00FA2997" w:rsidP="00FA2997">
      <w:pPr>
        <w:spacing w:line="276" w:lineRule="auto"/>
        <w:ind w:left="2000" w:hanging="1287"/>
        <w:rPr>
          <w:rFonts w:ascii="David" w:hAnsi="David"/>
          <w:b/>
          <w:bCs/>
        </w:rPr>
      </w:pPr>
      <w:r>
        <w:rPr>
          <w:rFonts w:ascii="David" w:hAnsi="David"/>
          <w:b/>
          <w:bCs/>
          <w:rtl/>
        </w:rPr>
        <w:t xml:space="preserve">ש: </w:t>
      </w:r>
      <w:r>
        <w:rPr>
          <w:rFonts w:ascii="David" w:hAnsi="David"/>
          <w:b/>
          <w:bCs/>
          <w:rtl/>
        </w:rPr>
        <w:tab/>
        <w:t>אבל את מאשרת, נכון?</w:t>
      </w:r>
    </w:p>
    <w:p w:rsidR="00FA2997" w:rsidRDefault="00FA2997" w:rsidP="00FA2997">
      <w:pPr>
        <w:spacing w:line="276" w:lineRule="auto"/>
        <w:ind w:left="1440" w:hanging="720"/>
        <w:jc w:val="both"/>
        <w:rPr>
          <w:rtl/>
        </w:rPr>
      </w:pPr>
      <w:r>
        <w:rPr>
          <w:rFonts w:ascii="David" w:hAnsi="David"/>
          <w:b/>
          <w:bCs/>
          <w:rtl/>
        </w:rPr>
        <w:lastRenderedPageBreak/>
        <w:t xml:space="preserve">ת: </w:t>
      </w:r>
      <w:r>
        <w:rPr>
          <w:rFonts w:ascii="David" w:hAnsi="David"/>
          <w:b/>
          <w:bCs/>
          <w:rtl/>
        </w:rPr>
        <w:tab/>
        <w:t>אני מאשרת שאני רואה מסמך מול העיניים שלי שהכותרת שלו, העתק רישום מפנקס הזכויות, זה מה שאני יכולה לאשר לך</w:t>
      </w:r>
      <w:r>
        <w:rPr>
          <w:rFonts w:ascii="David" w:hAnsi="David"/>
          <w:rtl/>
        </w:rPr>
        <w:t>.</w:t>
      </w:r>
      <w:r>
        <w:t>"</w:t>
      </w:r>
    </w:p>
    <w:p w:rsidR="00FA2997" w:rsidRDefault="00FA2997" w:rsidP="00FA2997">
      <w:pPr>
        <w:spacing w:line="276" w:lineRule="auto"/>
        <w:ind w:left="1440" w:hanging="720"/>
        <w:jc w:val="both"/>
        <w:rPr>
          <w:rFonts w:ascii="David" w:hAnsi="David"/>
        </w:rPr>
      </w:pPr>
    </w:p>
    <w:p w:rsidR="00FA2997" w:rsidRDefault="00FA2997" w:rsidP="00FA2997">
      <w:pPr>
        <w:spacing w:line="360" w:lineRule="auto"/>
        <w:ind w:left="713" w:hanging="578"/>
        <w:jc w:val="both"/>
        <w:rPr>
          <w:rFonts w:ascii="David" w:hAnsi="David"/>
          <w:rtl/>
        </w:rPr>
      </w:pPr>
      <w:r>
        <w:rPr>
          <w:rFonts w:ascii="David" w:hAnsi="David"/>
          <w:rtl/>
        </w:rPr>
        <w:t>19.</w:t>
      </w:r>
      <w:r>
        <w:rPr>
          <w:rFonts w:ascii="David" w:hAnsi="David"/>
          <w:rtl/>
        </w:rPr>
        <w:tab/>
        <w:t xml:space="preserve">חרף התנגדותה של המשיבה למסמך שהוצג לה, טענה שהיא אינה מכירה את המסמך, את נסיבות הכנתו, לא ראתה אותו לפני כן ואף טענה שייתכן שחתימתה זויפה (פרוטוקול עמ' 84 ש' 10, ש' 28-24) לצורך עריכתו. חרף כל זאת  לא הוגשה בקשה לעדות הזמה והדבר מדבר בעד עצמו. </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rtl/>
        </w:rPr>
      </w:pPr>
      <w:r>
        <w:rPr>
          <w:rFonts w:ascii="David" w:hAnsi="David"/>
          <w:rtl/>
        </w:rPr>
        <w:t>20.</w:t>
      </w:r>
      <w:r>
        <w:rPr>
          <w:rFonts w:ascii="David" w:hAnsi="David"/>
          <w:rtl/>
        </w:rPr>
        <w:tab/>
        <w:t xml:space="preserve">צא ולמד. קבלת הבקשה  תסרבל את ההליך גם מהיבט העולה מטענות המשיבה שהופתעה מהצגת המסמך. קבלת הבקשה עשויה להקים למשיבה ובצדק עילה לבקש לחקור את עורכו כאמור, לבדוק את כלל המסמכים שהביאו לעריכת המסמך ומסמכים קשורים ובכלל זה את החתימות עליהם רעל ידי מומחה להשוואת כתבי יד  מה שיגרור את הליך להימשך על פני חודשים נוספים רבים שאין מקום להם בשלב זה של הדיון. </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b/>
          <w:bCs/>
          <w:sz w:val="26"/>
          <w:szCs w:val="26"/>
          <w:rtl/>
        </w:rPr>
      </w:pPr>
      <w:r>
        <w:rPr>
          <w:rFonts w:ascii="David" w:hAnsi="David"/>
          <w:b/>
          <w:bCs/>
          <w:sz w:val="26"/>
          <w:szCs w:val="26"/>
          <w:u w:val="single"/>
          <w:rtl/>
        </w:rPr>
        <w:t>אחרית דבר</w:t>
      </w:r>
      <w:r>
        <w:rPr>
          <w:rFonts w:ascii="David" w:hAnsi="David"/>
          <w:b/>
          <w:bCs/>
          <w:sz w:val="26"/>
          <w:szCs w:val="26"/>
          <w:rtl/>
        </w:rPr>
        <w:t>:</w:t>
      </w:r>
    </w:p>
    <w:p w:rsidR="00FA2997" w:rsidRDefault="00FA2997" w:rsidP="00FA2997">
      <w:pPr>
        <w:spacing w:line="360" w:lineRule="auto"/>
        <w:ind w:left="713" w:hanging="578"/>
        <w:jc w:val="both"/>
        <w:rPr>
          <w:rFonts w:ascii="David" w:hAnsi="David"/>
          <w:b/>
          <w:bCs/>
          <w:sz w:val="26"/>
          <w:szCs w:val="26"/>
          <w:rtl/>
        </w:rPr>
      </w:pPr>
    </w:p>
    <w:p w:rsidR="00FA2997" w:rsidRDefault="00FA2997" w:rsidP="00FA2997">
      <w:pPr>
        <w:spacing w:line="360" w:lineRule="auto"/>
        <w:ind w:left="713" w:hanging="578"/>
        <w:jc w:val="both"/>
        <w:rPr>
          <w:rFonts w:ascii="David" w:hAnsi="David"/>
          <w:rtl/>
        </w:rPr>
      </w:pPr>
      <w:r>
        <w:rPr>
          <w:rFonts w:ascii="David" w:hAnsi="David"/>
          <w:rtl/>
        </w:rPr>
        <w:t>21.</w:t>
      </w:r>
      <w:r>
        <w:rPr>
          <w:rFonts w:ascii="David" w:hAnsi="David"/>
          <w:rtl/>
        </w:rPr>
        <w:tab/>
        <w:t>על בסיס האמור לעיל הבקשה לצירוף המסמך נדחית.</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rtl/>
        </w:rPr>
      </w:pPr>
      <w:r>
        <w:rPr>
          <w:rFonts w:ascii="David" w:hAnsi="David"/>
          <w:rtl/>
        </w:rPr>
        <w:t>22.</w:t>
      </w:r>
      <w:r>
        <w:rPr>
          <w:rFonts w:ascii="David" w:hAnsi="David"/>
          <w:rtl/>
        </w:rPr>
        <w:tab/>
        <w:t xml:space="preserve">המבקש יישא בהוצאות המשיבה בסך 3,500 ₪. </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rtl/>
        </w:rPr>
      </w:pPr>
      <w:r>
        <w:rPr>
          <w:rFonts w:ascii="David" w:hAnsi="David"/>
          <w:rtl/>
        </w:rPr>
        <w:t>23.</w:t>
      </w:r>
      <w:r>
        <w:rPr>
          <w:rFonts w:ascii="David" w:hAnsi="David"/>
          <w:rtl/>
        </w:rPr>
        <w:tab/>
        <w:t xml:space="preserve">הצדדים יגישו סיכומיהם על פי </w:t>
      </w:r>
      <w:r>
        <w:rPr>
          <w:rFonts w:ascii="David" w:hAnsi="David" w:hint="cs"/>
          <w:rtl/>
        </w:rPr>
        <w:t>הקבוע</w:t>
      </w:r>
      <w:r>
        <w:rPr>
          <w:rFonts w:ascii="David" w:hAnsi="David"/>
          <w:rtl/>
        </w:rPr>
        <w:t>.</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rtl/>
        </w:rPr>
      </w:pPr>
      <w:r>
        <w:rPr>
          <w:rFonts w:ascii="David" w:hAnsi="David"/>
          <w:rtl/>
        </w:rPr>
        <w:t>24.</w:t>
      </w:r>
      <w:r>
        <w:rPr>
          <w:rFonts w:ascii="David" w:hAnsi="David"/>
          <w:rtl/>
        </w:rPr>
        <w:tab/>
        <w:t>מתיר פרסום ההחלטה  בהשמטת פרטים מזהים.</w:t>
      </w:r>
    </w:p>
    <w:p w:rsidR="00FA2997" w:rsidRDefault="00FA2997" w:rsidP="00FA2997">
      <w:pPr>
        <w:spacing w:line="360" w:lineRule="auto"/>
        <w:ind w:left="713" w:hanging="578"/>
        <w:jc w:val="both"/>
        <w:rPr>
          <w:rFonts w:ascii="David" w:hAnsi="David"/>
          <w:rtl/>
        </w:rPr>
      </w:pPr>
    </w:p>
    <w:p w:rsidR="00FA2997" w:rsidRDefault="00FA2997" w:rsidP="00FA2997">
      <w:pPr>
        <w:spacing w:line="360" w:lineRule="auto"/>
        <w:ind w:left="713" w:hanging="578"/>
        <w:jc w:val="both"/>
        <w:rPr>
          <w:rFonts w:ascii="David" w:hAnsi="David"/>
          <w:rtl/>
        </w:rPr>
      </w:pPr>
      <w:r>
        <w:rPr>
          <w:rFonts w:ascii="David" w:hAnsi="David"/>
          <w:rtl/>
        </w:rPr>
        <w:t>25.</w:t>
      </w:r>
      <w:r>
        <w:rPr>
          <w:rFonts w:ascii="David" w:hAnsi="David"/>
          <w:rtl/>
        </w:rPr>
        <w:tab/>
        <w:t xml:space="preserve">תואיל המזכירות לשלוח ההחלטה לצדדים ולסגור את הבקשה. </w:t>
      </w:r>
    </w:p>
    <w:p w:rsidR="00FA2997" w:rsidRPr="00DE1E7D" w:rsidRDefault="00FA2997" w:rsidP="00FA2997">
      <w:pPr>
        <w:spacing w:line="360" w:lineRule="auto"/>
        <w:jc w:val="both"/>
        <w:rPr>
          <w:rFonts w:ascii="Arial" w:hAnsi="Arial"/>
          <w:noProof w:val="0"/>
          <w:rtl/>
        </w:rPr>
      </w:pPr>
    </w:p>
    <w:p w:rsidR="00FA2997" w:rsidRDefault="00FA2997" w:rsidP="00FA299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טבת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ינואר 2025</w:t>
          </w:r>
        </w:sdtContent>
      </w:sdt>
      <w:r>
        <w:rPr>
          <w:rFonts w:ascii="Arial" w:hAnsi="Arial"/>
          <w:noProof w:val="0"/>
          <w:rtl/>
        </w:rPr>
        <w:t>, בהעדר הצדדים.</w:t>
      </w:r>
    </w:p>
    <w:p w:rsidR="00FA2997" w:rsidRDefault="00752F64" w:rsidP="00FA2997">
      <w:pPr>
        <w:tabs>
          <w:tab w:val="left" w:pos="2553"/>
        </w:tabs>
        <w:ind w:left="5040"/>
        <w:rPr>
          <w:rtl/>
        </w:rPr>
      </w:pPr>
      <w:sdt>
        <w:sdtPr>
          <w:rPr>
            <w:rFonts w:hint="cs"/>
            <w:rtl/>
          </w:rPr>
          <w:alias w:val="2045"/>
          <w:tag w:val="2045"/>
          <w:id w:val="740689340"/>
          <w:placeholder>
            <w:docPart w:val="C87FEE336CA54139B2B0052D0C251996"/>
          </w:placeholder>
          <w:showingPlcHdr/>
          <w:text w:multiLine="1"/>
        </w:sdtPr>
        <w:sdtEndPr/>
        <w:sdtContent>
          <w:r w:rsidR="00FA2997">
            <w:rPr>
              <w:rFonts w:hint="cs"/>
              <w:rtl/>
            </w:rPr>
            <w:t xml:space="preserve">     </w:t>
          </w:r>
        </w:sdtContent>
      </w:sdt>
    </w:p>
    <w:p w:rsidR="00FA2997" w:rsidRDefault="00FA2997" w:rsidP="00FA2997">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63843392"/>
        </w:sdtPr>
        <w:sdtEndPr/>
        <w:sdtContent>
          <w:r>
            <w:drawing>
              <wp:inline distT="0" distB="0" distL="0" distR="0" wp14:anchorId="5480FB30" wp14:editId="73314E6E">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009649"/>
                        </a:xfrm>
                        <a:prstGeom prst="rect">
                          <a:avLst/>
                        </a:prstGeom>
                      </pic:spPr>
                    </pic:pic>
                  </a:graphicData>
                </a:graphic>
              </wp:inline>
            </w:drawing>
          </w:r>
        </w:sdtContent>
      </w:sdt>
    </w:p>
    <w:p w:rsidR="00FA2997" w:rsidRDefault="00FA2997" w:rsidP="00FA2997">
      <w:pPr>
        <w:tabs>
          <w:tab w:val="left" w:pos="2553"/>
        </w:tabs>
        <w:rPr>
          <w:rFonts w:ascii="Arial" w:hAnsi="Arial"/>
          <w:noProof w:val="0"/>
          <w:rtl/>
        </w:rPr>
      </w:pPr>
    </w:p>
    <w:p w:rsidR="00FA2997" w:rsidRDefault="00FA2997"/>
    <w:sectPr w:rsidR="00FA2997"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997"/>
    <w:rsid w:val="00752F64"/>
    <w:rsid w:val="00912B11"/>
    <w:rsid w:val="00BF2331"/>
    <w:rsid w:val="00D52136"/>
    <w:rsid w:val="00DD2491"/>
    <w:rsid w:val="00FA29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0C4A54-FBB2-49AA-AC8D-A62AD6AD1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99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ind w:left="720"/>
      <w:contextualSpacing/>
    </w:pPr>
  </w:style>
  <w:style w:type="table" w:styleId="a4">
    <w:name w:val="Table Grid"/>
    <w:basedOn w:val="a1"/>
    <w:rsid w:val="00FA299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ller4">
    <w:name w:val="Ruller 4 ממוספר"/>
    <w:basedOn w:val="a"/>
    <w:next w:val="a"/>
    <w:rsid w:val="00FA2997"/>
    <w:pPr>
      <w:numPr>
        <w:numId w:val="1"/>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Hyperlink">
    <w:name w:val="Hyperlink"/>
    <w:basedOn w:val="a0"/>
    <w:uiPriority w:val="99"/>
    <w:semiHidden/>
    <w:unhideWhenUsed/>
    <w:rsid w:val="00FA2997"/>
    <w:rPr>
      <w:color w:val="0000FF"/>
      <w:u w:val="single"/>
    </w:rPr>
  </w:style>
  <w:style w:type="paragraph" w:styleId="a5">
    <w:name w:val="header"/>
    <w:basedOn w:val="a"/>
    <w:link w:val="a6"/>
    <w:rsid w:val="00FA2997"/>
    <w:pPr>
      <w:tabs>
        <w:tab w:val="center" w:pos="4153"/>
        <w:tab w:val="right" w:pos="8306"/>
      </w:tabs>
    </w:pPr>
  </w:style>
  <w:style w:type="character" w:customStyle="1" w:styleId="a6">
    <w:name w:val="כותרת עליונה תו"/>
    <w:basedOn w:val="a0"/>
    <w:link w:val="a5"/>
    <w:rsid w:val="00FA2997"/>
    <w:rPr>
      <w:rFonts w:ascii="Times New Roman" w:eastAsia="Times New Roman" w:hAnsi="Times New Roman" w:cs="David"/>
      <w:noProof/>
      <w:sz w:val="24"/>
      <w:szCs w:val="24"/>
    </w:rPr>
  </w:style>
  <w:style w:type="paragraph" w:styleId="NormalWeb">
    <w:name w:val="Normal (Web)"/>
    <w:basedOn w:val="a"/>
    <w:uiPriority w:val="99"/>
    <w:semiHidden/>
    <w:unhideWhenUsed/>
    <w:rsid w:val="00FA2997"/>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5310332" TargetMode="External"/><Relationship Id="rId3" Type="http://schemas.openxmlformats.org/officeDocument/2006/relationships/settings" Target="settings.xml"/><Relationship Id="rId7" Type="http://schemas.openxmlformats.org/officeDocument/2006/relationships/hyperlink" Target="http://www.nevo.co.il/case/6230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links/psika/?link=&#1506;&#1488;%20641/87" TargetMode="External"/><Relationship Id="rId11" Type="http://schemas.openxmlformats.org/officeDocument/2006/relationships/glossaryDocument" Target="glossary/document.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7FEE336CA54139B2B0052D0C251996"/>
        <w:category>
          <w:name w:val="כללי"/>
          <w:gallery w:val="placeholder"/>
        </w:category>
        <w:types>
          <w:type w:val="bbPlcHdr"/>
        </w:types>
        <w:behaviors>
          <w:behavior w:val="content"/>
        </w:behaviors>
        <w:guid w:val="{955644E1-995F-407D-BCA8-D8A04D604490}"/>
      </w:docPartPr>
      <w:docPartBody>
        <w:p w:rsidR="008A16A8" w:rsidRDefault="004E28F8" w:rsidP="004E28F8">
          <w:pPr>
            <w:pStyle w:val="C87FEE336CA54139B2B0052D0C25199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8F8"/>
    <w:rsid w:val="004E28F8"/>
    <w:rsid w:val="00876B03"/>
    <w:rsid w:val="008A16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7FEE336CA54139B2B0052D0C251996">
    <w:name w:val="C87FEE336CA54139B2B0052D0C251996"/>
    <w:rsid w:val="004E28F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2759</Words>
  <Characters>13798</Characters>
  <Application>Microsoft Office Word</Application>
  <DocSecurity>4</DocSecurity>
  <Lines>114</Lines>
  <Paragraphs>33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נעה בקר</cp:lastModifiedBy>
  <cp:revision>2</cp:revision>
  <dcterms:created xsi:type="dcterms:W3CDTF">2025-01-16T10:57:00Z</dcterms:created>
  <dcterms:modified xsi:type="dcterms:W3CDTF">2025-01-16T10:57:00Z</dcterms:modified>
</cp:coreProperties>
</file>